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39565" w14:textId="0D2EB731" w:rsidR="00AA3146" w:rsidRDefault="00502EF9">
      <w:pPr>
        <w:pStyle w:val="Heading1"/>
      </w:pPr>
      <w:r>
        <w:t xml:space="preserve">Precision Agriculture </w:t>
      </w:r>
    </w:p>
    <w:p w14:paraId="4BCFB7B2" w14:textId="741F7156" w:rsidR="00E257EA" w:rsidRPr="00E257EA" w:rsidRDefault="00E257EA" w:rsidP="00E257EA">
      <w:pPr>
        <w:jc w:val="center"/>
        <w:rPr>
          <w:rFonts w:ascii="Arial" w:hAnsi="Arial" w:cs="Arial"/>
          <w:i/>
          <w:iCs/>
          <w:sz w:val="32"/>
          <w:szCs w:val="32"/>
        </w:rPr>
      </w:pPr>
      <w:r w:rsidRPr="00C5335E">
        <w:rPr>
          <w:rFonts w:ascii="Arial" w:hAnsi="Arial" w:cs="Arial"/>
          <w:i/>
          <w:iCs/>
          <w:sz w:val="32"/>
          <w:szCs w:val="32"/>
        </w:rPr>
        <w:t>Agricultural Cyberbiosecurity Education Resource Collection</w:t>
      </w:r>
    </w:p>
    <w:p w14:paraId="6F11757F" w14:textId="77777777" w:rsidR="001741C2" w:rsidRDefault="001741C2" w:rsidP="001741C2">
      <w:pPr>
        <w:pBdr>
          <w:top w:val="nil"/>
          <w:left w:val="nil"/>
          <w:bottom w:val="nil"/>
          <w:right w:val="nil"/>
          <w:between w:val="nil"/>
        </w:pBdr>
        <w:spacing w:before="240" w:after="480"/>
        <w:jc w:val="center"/>
        <w:rPr>
          <w:i/>
          <w:color w:val="000000"/>
          <w:sz w:val="20"/>
          <w:szCs w:val="20"/>
        </w:rPr>
        <w:sectPr w:rsidR="001741C2">
          <w:headerReference w:type="default" r:id="rId8"/>
          <w:footerReference w:type="even" r:id="rId9"/>
          <w:footerReference w:type="default" r:id="rId10"/>
          <w:headerReference w:type="first" r:id="rId11"/>
          <w:pgSz w:w="12240" w:h="15840"/>
          <w:pgMar w:top="1440" w:right="1080" w:bottom="1152" w:left="1080" w:header="432" w:footer="432" w:gutter="0"/>
          <w:pgNumType w:start="1"/>
          <w:cols w:space="720"/>
          <w:titlePg/>
        </w:sectPr>
      </w:pPr>
      <w:r>
        <w:rPr>
          <w:i/>
          <w:color w:val="000000"/>
          <w:sz w:val="20"/>
          <w:szCs w:val="20"/>
        </w:rPr>
        <w:t>Authored by David Smilnak, Shannon Bradley, and Dr. Hannah Scherer</w:t>
      </w:r>
    </w:p>
    <w:p w14:paraId="512FE8DE" w14:textId="77777777" w:rsidR="00AA3146" w:rsidRDefault="00502EF9" w:rsidP="00E257EA">
      <w:pPr>
        <w:pStyle w:val="Heading2"/>
        <w:spacing w:before="0"/>
      </w:pPr>
      <w:r>
        <w:t>Introduction</w:t>
      </w:r>
    </w:p>
    <w:p w14:paraId="3605661D" w14:textId="77777777" w:rsidR="00AA3146" w:rsidRDefault="00502EF9" w:rsidP="00E257EA">
      <w:pPr>
        <w:pStyle w:val="Heading2"/>
        <w:spacing w:before="0"/>
        <w:rPr>
          <w:rFonts w:ascii="Times New Roman" w:eastAsia="Times New Roman" w:hAnsi="Times New Roman"/>
          <w:b w:val="0"/>
          <w:sz w:val="22"/>
          <w:szCs w:val="22"/>
        </w:rPr>
      </w:pPr>
      <w:r>
        <w:rPr>
          <w:rFonts w:ascii="Times New Roman" w:eastAsia="Times New Roman" w:hAnsi="Times New Roman"/>
          <w:b w:val="0"/>
          <w:sz w:val="22"/>
          <w:szCs w:val="22"/>
        </w:rPr>
        <w:t xml:space="preserve">Have you ever considered a job as a drone pilot? Do you enjoy turning your house into a smart house? Have you thought about trying to protect the data and programs involved with both? </w:t>
      </w:r>
      <w:r w:rsidR="00234D7B">
        <w:rPr>
          <w:rFonts w:ascii="Times New Roman" w:eastAsia="Times New Roman" w:hAnsi="Times New Roman"/>
          <w:b w:val="0"/>
          <w:sz w:val="22"/>
          <w:szCs w:val="22"/>
        </w:rPr>
        <w:t xml:space="preserve">Have </w:t>
      </w:r>
      <w:r>
        <w:rPr>
          <w:rFonts w:ascii="Times New Roman" w:eastAsia="Times New Roman" w:hAnsi="Times New Roman"/>
          <w:b w:val="0"/>
          <w:sz w:val="22"/>
          <w:szCs w:val="22"/>
        </w:rPr>
        <w:t xml:space="preserve">you ever considered </w:t>
      </w:r>
      <w:r w:rsidR="00234D7B">
        <w:rPr>
          <w:rFonts w:ascii="Times New Roman" w:eastAsia="Times New Roman" w:hAnsi="Times New Roman"/>
          <w:b w:val="0"/>
          <w:sz w:val="22"/>
          <w:szCs w:val="22"/>
        </w:rPr>
        <w:t xml:space="preserve">combining </w:t>
      </w:r>
      <w:r>
        <w:rPr>
          <w:rFonts w:ascii="Times New Roman" w:eastAsia="Times New Roman" w:hAnsi="Times New Roman"/>
          <w:b w:val="0"/>
          <w:sz w:val="22"/>
          <w:szCs w:val="22"/>
        </w:rPr>
        <w:t xml:space="preserve">that with farming? It might sound funny at first, but farming is quickly becoming very </w:t>
      </w:r>
      <w:r w:rsidR="00234D7B">
        <w:rPr>
          <w:rFonts w:ascii="Times New Roman" w:eastAsia="Times New Roman" w:hAnsi="Times New Roman"/>
          <w:b w:val="0"/>
          <w:sz w:val="22"/>
          <w:szCs w:val="22"/>
        </w:rPr>
        <w:t>high-</w:t>
      </w:r>
      <w:r>
        <w:rPr>
          <w:rFonts w:ascii="Times New Roman" w:eastAsia="Times New Roman" w:hAnsi="Times New Roman"/>
          <w:b w:val="0"/>
          <w:sz w:val="22"/>
          <w:szCs w:val="22"/>
        </w:rPr>
        <w:t xml:space="preserve">tech. Farmers aren’t just planting crops or tending to their cows. Now they use drone-mounted thermal cameras to see how healthy crops are, GPS trackers to keep tabs on cows, and phone apps to drive tractors. All of this is being done to make farming </w:t>
      </w:r>
      <w:r w:rsidR="00234D7B">
        <w:rPr>
          <w:rFonts w:ascii="Times New Roman" w:eastAsia="Times New Roman" w:hAnsi="Times New Roman"/>
          <w:b w:val="0"/>
          <w:sz w:val="22"/>
          <w:szCs w:val="22"/>
        </w:rPr>
        <w:t>more cost-</w:t>
      </w:r>
      <w:r>
        <w:rPr>
          <w:rFonts w:ascii="Times New Roman" w:eastAsia="Times New Roman" w:hAnsi="Times New Roman"/>
          <w:b w:val="0"/>
          <w:sz w:val="22"/>
          <w:szCs w:val="22"/>
        </w:rPr>
        <w:t xml:space="preserve">effective and environmentally friendly. </w:t>
      </w:r>
    </w:p>
    <w:p w14:paraId="082B3BBB" w14:textId="77777777" w:rsidR="00AA3146" w:rsidRDefault="00502EF9">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7F5956D2" wp14:editId="2164BB24">
            <wp:extent cx="2971800" cy="1981200"/>
            <wp:effectExtent l="0" t="0" r="0" b="0"/>
            <wp:docPr id="9" name="image5.jpg" descr="A cow standing in a field&#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5.jpg" descr="A cow standing in a field&#10;&#10;Description automatically generated with low confidence"/>
                    <pic:cNvPicPr preferRelativeResize="0"/>
                  </pic:nvPicPr>
                  <pic:blipFill>
                    <a:blip r:embed="rId12"/>
                    <a:srcRect/>
                    <a:stretch>
                      <a:fillRect/>
                    </a:stretch>
                  </pic:blipFill>
                  <pic:spPr>
                    <a:xfrm>
                      <a:off x="0" y="0"/>
                      <a:ext cx="2971800" cy="1981200"/>
                    </a:xfrm>
                    <a:prstGeom prst="rect">
                      <a:avLst/>
                    </a:prstGeom>
                    <a:ln/>
                  </pic:spPr>
                </pic:pic>
              </a:graphicData>
            </a:graphic>
          </wp:inline>
        </w:drawing>
      </w:r>
    </w:p>
    <w:p w14:paraId="7D9F3C90" w14:textId="77777777" w:rsidR="00AA3146" w:rsidRDefault="00502EF9">
      <w:pPr>
        <w:pBdr>
          <w:top w:val="nil"/>
          <w:left w:val="nil"/>
          <w:bottom w:val="nil"/>
          <w:right w:val="nil"/>
          <w:between w:val="nil"/>
        </w:pBdr>
        <w:spacing w:after="240"/>
        <w:rPr>
          <w:rFonts w:ascii="Arial" w:eastAsia="Arial" w:hAnsi="Arial" w:cs="Arial"/>
          <w:color w:val="000000"/>
          <w:sz w:val="20"/>
          <w:szCs w:val="20"/>
        </w:rPr>
      </w:pPr>
      <w:r>
        <w:rPr>
          <w:rFonts w:ascii="Arial" w:eastAsia="Arial" w:hAnsi="Arial" w:cs="Arial"/>
          <w:color w:val="000000"/>
          <w:sz w:val="20"/>
          <w:szCs w:val="20"/>
        </w:rPr>
        <w:t xml:space="preserve">Figure 1. A cow with a GPS and health sensor on its collar. </w:t>
      </w:r>
      <w:r>
        <w:rPr>
          <w:rFonts w:ascii="Quattrocento Sans" w:eastAsia="Quattrocento Sans" w:hAnsi="Quattrocento Sans" w:cs="Quattrocento Sans"/>
          <w:color w:val="30272E"/>
          <w:sz w:val="21"/>
          <w:szCs w:val="21"/>
          <w:highlight w:val="white"/>
        </w:rPr>
        <w:t>"</w:t>
      </w:r>
      <w:hyperlink r:id="rId13">
        <w:r>
          <w:rPr>
            <w:rFonts w:ascii="Quattrocento Sans" w:eastAsia="Quattrocento Sans" w:hAnsi="Quattrocento Sans" w:cs="Quattrocento Sans"/>
            <w:color w:val="0000FF"/>
            <w:sz w:val="21"/>
            <w:szCs w:val="21"/>
            <w:highlight w:val="white"/>
            <w:u w:val="single"/>
          </w:rPr>
          <w:t>20110429acp115sp008p</w:t>
        </w:r>
      </w:hyperlink>
      <w:r>
        <w:rPr>
          <w:rFonts w:ascii="Quattrocento Sans" w:eastAsia="Quattrocento Sans" w:hAnsi="Quattrocento Sans" w:cs="Quattrocento Sans"/>
          <w:color w:val="30272E"/>
          <w:sz w:val="21"/>
          <w:szCs w:val="21"/>
          <w:highlight w:val="white"/>
        </w:rPr>
        <w:t>" by </w:t>
      </w:r>
      <w:hyperlink r:id="rId14">
        <w:r>
          <w:rPr>
            <w:rFonts w:ascii="Quattrocento Sans" w:eastAsia="Quattrocento Sans" w:hAnsi="Quattrocento Sans" w:cs="Quattrocento Sans"/>
            <w:color w:val="0000FF"/>
            <w:sz w:val="21"/>
            <w:szCs w:val="21"/>
            <w:highlight w:val="white"/>
            <w:u w:val="single"/>
          </w:rPr>
          <w:t>ukagriculture</w:t>
        </w:r>
      </w:hyperlink>
      <w:r>
        <w:rPr>
          <w:rFonts w:ascii="Quattrocento Sans" w:eastAsia="Quattrocento Sans" w:hAnsi="Quattrocento Sans" w:cs="Quattrocento Sans"/>
          <w:color w:val="30272E"/>
          <w:sz w:val="21"/>
          <w:szCs w:val="21"/>
          <w:highlight w:val="white"/>
        </w:rPr>
        <w:t> is licensed under </w:t>
      </w:r>
      <w:hyperlink r:id="rId15">
        <w:r>
          <w:rPr>
            <w:rFonts w:ascii="Quattrocento Sans" w:eastAsia="Quattrocento Sans" w:hAnsi="Quattrocento Sans" w:cs="Quattrocento Sans"/>
            <w:color w:val="0000FF"/>
            <w:sz w:val="21"/>
            <w:szCs w:val="21"/>
            <w:highlight w:val="white"/>
            <w:u w:val="single"/>
          </w:rPr>
          <w:t>CC BY-NC-ND 2.0</w:t>
        </w:r>
      </w:hyperlink>
      <w:r>
        <w:rPr>
          <w:rFonts w:ascii="Quattrocento Sans" w:eastAsia="Quattrocento Sans" w:hAnsi="Quattrocento Sans" w:cs="Quattrocento Sans"/>
          <w:color w:val="30272E"/>
          <w:sz w:val="21"/>
          <w:szCs w:val="21"/>
          <w:highlight w:val="white"/>
        </w:rPr>
        <w:t>.</w:t>
      </w:r>
    </w:p>
    <w:p w14:paraId="60E35307" w14:textId="77777777" w:rsidR="00AA3146" w:rsidRDefault="00AA3146"/>
    <w:p w14:paraId="0BF510FB" w14:textId="77777777" w:rsidR="00AA3146" w:rsidRDefault="00502EF9">
      <w:pPr>
        <w:pStyle w:val="Heading2"/>
      </w:pPr>
      <w:r>
        <w:t>A Brief History of Precision Agriculture</w:t>
      </w:r>
    </w:p>
    <w:p w14:paraId="53993411" w14:textId="77777777" w:rsidR="00AA3146" w:rsidRDefault="00502EF9">
      <w:pPr>
        <w:pBdr>
          <w:top w:val="nil"/>
          <w:left w:val="nil"/>
          <w:bottom w:val="nil"/>
          <w:right w:val="nil"/>
          <w:between w:val="nil"/>
        </w:pBdr>
        <w:spacing w:after="240"/>
        <w:rPr>
          <w:color w:val="000000"/>
          <w:sz w:val="22"/>
          <w:szCs w:val="22"/>
        </w:rPr>
      </w:pPr>
      <w:r>
        <w:rPr>
          <w:sz w:val="22"/>
          <w:szCs w:val="22"/>
        </w:rPr>
        <w:t>P</w:t>
      </w:r>
      <w:r>
        <w:rPr>
          <w:color w:val="000000"/>
          <w:sz w:val="22"/>
          <w:szCs w:val="22"/>
        </w:rPr>
        <w:t>recision agriculture</w:t>
      </w:r>
      <w:r>
        <w:rPr>
          <w:sz w:val="22"/>
          <w:szCs w:val="22"/>
        </w:rPr>
        <w:t xml:space="preserve"> </w:t>
      </w:r>
      <w:r>
        <w:rPr>
          <w:color w:val="000000"/>
          <w:sz w:val="22"/>
          <w:szCs w:val="22"/>
        </w:rPr>
        <w:t xml:space="preserve">gets its name from farmers trying to be “precise” with the amount of fertilizer, pesticides, and water used. While it might seem like a new idea, precision agriculture can trace its roots back to the 1980s. </w:t>
      </w:r>
      <w:r w:rsidR="00B90437">
        <w:rPr>
          <w:color w:val="000000"/>
          <w:sz w:val="22"/>
          <w:szCs w:val="22"/>
        </w:rPr>
        <w:t xml:space="preserve">In </w:t>
      </w:r>
      <w:r>
        <w:rPr>
          <w:color w:val="000000"/>
          <w:sz w:val="22"/>
          <w:szCs w:val="22"/>
        </w:rPr>
        <w:t xml:space="preserve">its most basic form, precision agriculture means changing the amount of fertilizer, </w:t>
      </w:r>
      <w:r>
        <w:rPr>
          <w:color w:val="000000"/>
          <w:sz w:val="22"/>
          <w:szCs w:val="22"/>
        </w:rPr>
        <w:t xml:space="preserve">pesticide, water, etc. put on a field based on the needs of the particular plant or piece of land. This can be done </w:t>
      </w:r>
      <w:r w:rsidR="000C12CC">
        <w:rPr>
          <w:color w:val="000000"/>
          <w:sz w:val="22"/>
          <w:szCs w:val="22"/>
        </w:rPr>
        <w:t xml:space="preserve">by hand </w:t>
      </w:r>
      <w:r>
        <w:rPr>
          <w:color w:val="000000"/>
          <w:sz w:val="22"/>
          <w:szCs w:val="22"/>
        </w:rPr>
        <w:t xml:space="preserve">by changing </w:t>
      </w:r>
      <w:r w:rsidR="000C12CC">
        <w:rPr>
          <w:color w:val="000000"/>
          <w:sz w:val="22"/>
          <w:szCs w:val="22"/>
        </w:rPr>
        <w:t xml:space="preserve">the </w:t>
      </w:r>
      <w:r>
        <w:rPr>
          <w:color w:val="000000"/>
          <w:sz w:val="22"/>
          <w:szCs w:val="22"/>
        </w:rPr>
        <w:t>equipment. Quickly</w:t>
      </w:r>
      <w:r w:rsidR="00234D7B">
        <w:rPr>
          <w:color w:val="000000"/>
          <w:sz w:val="22"/>
          <w:szCs w:val="22"/>
        </w:rPr>
        <w:t>,</w:t>
      </w:r>
      <w:r>
        <w:rPr>
          <w:color w:val="000000"/>
          <w:sz w:val="22"/>
          <w:szCs w:val="22"/>
        </w:rPr>
        <w:t xml:space="preserve"> though, this started to become more automated. In fact, the first </w:t>
      </w:r>
      <w:r>
        <w:rPr>
          <w:sz w:val="22"/>
          <w:szCs w:val="22"/>
        </w:rPr>
        <w:t>remote-controlled</w:t>
      </w:r>
      <w:r>
        <w:rPr>
          <w:color w:val="000000"/>
          <w:sz w:val="22"/>
          <w:szCs w:val="22"/>
        </w:rPr>
        <w:t xml:space="preserve"> agricultural drone was used </w:t>
      </w:r>
      <w:r w:rsidR="00234D7B">
        <w:rPr>
          <w:color w:val="000000"/>
          <w:sz w:val="22"/>
          <w:szCs w:val="22"/>
        </w:rPr>
        <w:t xml:space="preserve">in </w:t>
      </w:r>
      <w:r>
        <w:rPr>
          <w:color w:val="000000"/>
          <w:sz w:val="22"/>
          <w:szCs w:val="22"/>
        </w:rPr>
        <w:t>the 1980s to spray rice paddies.</w:t>
      </w:r>
      <w:r>
        <w:rPr>
          <w:noProof/>
          <w:color w:val="000000"/>
          <w:sz w:val="22"/>
          <w:szCs w:val="22"/>
        </w:rPr>
        <w:drawing>
          <wp:inline distT="0" distB="0" distL="0" distR="0" wp14:anchorId="306C0981" wp14:editId="3BB560E5">
            <wp:extent cx="2971800" cy="1981200"/>
            <wp:effectExtent l="0" t="0" r="0" b="0"/>
            <wp:docPr id="11" name="image4.jpg" descr="A cow standing in a field&#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4.jpg" descr="A cow standing in a field&#10;&#10;Description automatically generated with low confidence"/>
                    <pic:cNvPicPr preferRelativeResize="0"/>
                  </pic:nvPicPr>
                  <pic:blipFill>
                    <a:blip r:embed="rId16"/>
                    <a:srcRect/>
                    <a:stretch>
                      <a:fillRect/>
                    </a:stretch>
                  </pic:blipFill>
                  <pic:spPr>
                    <a:xfrm>
                      <a:off x="0" y="0"/>
                      <a:ext cx="2971800" cy="1981200"/>
                    </a:xfrm>
                    <a:prstGeom prst="rect">
                      <a:avLst/>
                    </a:prstGeom>
                    <a:ln/>
                  </pic:spPr>
                </pic:pic>
              </a:graphicData>
            </a:graphic>
          </wp:inline>
        </w:drawing>
      </w:r>
    </w:p>
    <w:p w14:paraId="376F4392" w14:textId="77777777" w:rsidR="00AA3146" w:rsidRDefault="00502EF9">
      <w:pPr>
        <w:pBdr>
          <w:top w:val="nil"/>
          <w:left w:val="nil"/>
          <w:bottom w:val="nil"/>
          <w:right w:val="nil"/>
          <w:between w:val="nil"/>
        </w:pBdr>
        <w:spacing w:after="240"/>
        <w:rPr>
          <w:rFonts w:ascii="Arial" w:eastAsia="Arial" w:hAnsi="Arial" w:cs="Arial"/>
          <w:color w:val="000000"/>
          <w:sz w:val="20"/>
          <w:szCs w:val="20"/>
        </w:rPr>
      </w:pPr>
      <w:r>
        <w:rPr>
          <w:rFonts w:ascii="Arial" w:eastAsia="Arial" w:hAnsi="Arial" w:cs="Arial"/>
          <w:color w:val="000000"/>
          <w:sz w:val="20"/>
          <w:szCs w:val="20"/>
        </w:rPr>
        <w:t xml:space="preserve">Figure 2. Drone pilots testing their agricultural drone. </w:t>
      </w:r>
      <w:r>
        <w:rPr>
          <w:rFonts w:ascii="Quattrocento Sans" w:eastAsia="Quattrocento Sans" w:hAnsi="Quattrocento Sans" w:cs="Quattrocento Sans"/>
          <w:color w:val="30272E"/>
          <w:sz w:val="21"/>
          <w:szCs w:val="21"/>
          <w:highlight w:val="white"/>
        </w:rPr>
        <w:t>"</w:t>
      </w:r>
      <w:hyperlink r:id="rId17">
        <w:r>
          <w:rPr>
            <w:rFonts w:ascii="Quattrocento Sans" w:eastAsia="Quattrocento Sans" w:hAnsi="Quattrocento Sans" w:cs="Quattrocento Sans"/>
            <w:color w:val="0000FF"/>
            <w:sz w:val="21"/>
            <w:szCs w:val="21"/>
            <w:highlight w:val="white"/>
            <w:u w:val="single"/>
          </w:rPr>
          <w:t>Drone test flight</w:t>
        </w:r>
      </w:hyperlink>
      <w:r>
        <w:rPr>
          <w:rFonts w:ascii="Quattrocento Sans" w:eastAsia="Quattrocento Sans" w:hAnsi="Quattrocento Sans" w:cs="Quattrocento Sans"/>
          <w:color w:val="30272E"/>
          <w:sz w:val="21"/>
          <w:szCs w:val="21"/>
          <w:highlight w:val="white"/>
        </w:rPr>
        <w:t>" by </w:t>
      </w:r>
      <w:hyperlink r:id="rId18">
        <w:r>
          <w:rPr>
            <w:rFonts w:ascii="Quattrocento Sans" w:eastAsia="Quattrocento Sans" w:hAnsi="Quattrocento Sans" w:cs="Quattrocento Sans"/>
            <w:color w:val="0000FF"/>
            <w:sz w:val="21"/>
            <w:szCs w:val="21"/>
            <w:highlight w:val="white"/>
            <w:u w:val="single"/>
          </w:rPr>
          <w:t>millstastic</w:t>
        </w:r>
      </w:hyperlink>
      <w:r>
        <w:rPr>
          <w:rFonts w:ascii="Quattrocento Sans" w:eastAsia="Quattrocento Sans" w:hAnsi="Quattrocento Sans" w:cs="Quattrocento Sans"/>
          <w:color w:val="30272E"/>
          <w:sz w:val="21"/>
          <w:szCs w:val="21"/>
          <w:highlight w:val="white"/>
        </w:rPr>
        <w:t> is licensed under </w:t>
      </w:r>
      <w:hyperlink r:id="rId19">
        <w:r>
          <w:rPr>
            <w:rFonts w:ascii="Quattrocento Sans" w:eastAsia="Quattrocento Sans" w:hAnsi="Quattrocento Sans" w:cs="Quattrocento Sans"/>
            <w:color w:val="0000FF"/>
            <w:sz w:val="21"/>
            <w:szCs w:val="21"/>
            <w:highlight w:val="white"/>
            <w:u w:val="single"/>
          </w:rPr>
          <w:t>CC BY 2.0</w:t>
        </w:r>
      </w:hyperlink>
      <w:r>
        <w:rPr>
          <w:rFonts w:ascii="Quattrocento Sans" w:eastAsia="Quattrocento Sans" w:hAnsi="Quattrocento Sans" w:cs="Quattrocento Sans"/>
          <w:color w:val="30272E"/>
          <w:sz w:val="21"/>
          <w:szCs w:val="21"/>
          <w:highlight w:val="white"/>
        </w:rPr>
        <w:t>.</w:t>
      </w:r>
    </w:p>
    <w:p w14:paraId="4280183F" w14:textId="77777777" w:rsidR="00AA3146" w:rsidRDefault="00502EF9">
      <w:pPr>
        <w:pStyle w:val="Heading2"/>
      </w:pPr>
      <w:r>
        <w:t>Modern Precision Agriculture</w:t>
      </w:r>
    </w:p>
    <w:p w14:paraId="472F0B6B" w14:textId="77777777" w:rsidR="00AA3146" w:rsidRDefault="00502EF9">
      <w:pPr>
        <w:pBdr>
          <w:top w:val="nil"/>
          <w:left w:val="nil"/>
          <w:bottom w:val="nil"/>
          <w:right w:val="nil"/>
          <w:between w:val="nil"/>
        </w:pBdr>
        <w:spacing w:after="240"/>
        <w:rPr>
          <w:color w:val="000000"/>
          <w:sz w:val="22"/>
          <w:szCs w:val="22"/>
        </w:rPr>
      </w:pPr>
      <w:r>
        <w:rPr>
          <w:color w:val="000000"/>
          <w:sz w:val="22"/>
          <w:szCs w:val="22"/>
        </w:rPr>
        <w:t>Since the 1980s, precision agriculture has become more technological. Companies like John Deere</w:t>
      </w:r>
      <w:r w:rsidR="000C12CC">
        <w:rPr>
          <w:color w:val="000000"/>
          <w:sz w:val="22"/>
          <w:szCs w:val="22"/>
        </w:rPr>
        <w:t xml:space="preserve"> and </w:t>
      </w:r>
      <w:r>
        <w:rPr>
          <w:color w:val="000000"/>
          <w:sz w:val="22"/>
          <w:szCs w:val="22"/>
        </w:rPr>
        <w:t>New Holland</w:t>
      </w:r>
      <w:r w:rsidR="00234D7B">
        <w:rPr>
          <w:color w:val="000000"/>
          <w:sz w:val="22"/>
          <w:szCs w:val="22"/>
        </w:rPr>
        <w:t xml:space="preserve"> </w:t>
      </w:r>
      <w:r>
        <w:rPr>
          <w:color w:val="000000"/>
          <w:sz w:val="22"/>
          <w:szCs w:val="22"/>
        </w:rPr>
        <w:t xml:space="preserve">among others have tried to automate as much farm work as possible. While this helps farmers </w:t>
      </w:r>
      <w:r w:rsidR="003C2A4F">
        <w:rPr>
          <w:color w:val="000000"/>
          <w:sz w:val="22"/>
          <w:szCs w:val="22"/>
        </w:rPr>
        <w:t xml:space="preserve">make </w:t>
      </w:r>
      <w:r>
        <w:rPr>
          <w:color w:val="000000"/>
          <w:sz w:val="22"/>
          <w:szCs w:val="22"/>
        </w:rPr>
        <w:t xml:space="preserve">precise adjustments to their equipment, it also makes the equipment more </w:t>
      </w:r>
      <w:r w:rsidR="003C2A4F">
        <w:rPr>
          <w:color w:val="000000"/>
          <w:sz w:val="22"/>
          <w:szCs w:val="22"/>
        </w:rPr>
        <w:t>computer-</w:t>
      </w:r>
      <w:r>
        <w:rPr>
          <w:color w:val="000000"/>
          <w:sz w:val="22"/>
          <w:szCs w:val="22"/>
        </w:rPr>
        <w:t xml:space="preserve">driven. Today, with internet connectivity and </w:t>
      </w:r>
      <w:r>
        <w:rPr>
          <w:b/>
          <w:color w:val="000000"/>
          <w:sz w:val="22"/>
          <w:szCs w:val="22"/>
        </w:rPr>
        <w:t xml:space="preserve">the </w:t>
      </w:r>
      <w:r w:rsidR="000C12CC">
        <w:rPr>
          <w:b/>
          <w:color w:val="000000"/>
          <w:sz w:val="22"/>
          <w:szCs w:val="22"/>
        </w:rPr>
        <w:t xml:space="preserve">Internet </w:t>
      </w:r>
      <w:r>
        <w:rPr>
          <w:b/>
          <w:color w:val="000000"/>
          <w:sz w:val="22"/>
          <w:szCs w:val="22"/>
        </w:rPr>
        <w:t xml:space="preserve">of </w:t>
      </w:r>
      <w:r w:rsidR="000C12CC">
        <w:rPr>
          <w:b/>
          <w:color w:val="000000"/>
          <w:sz w:val="22"/>
          <w:szCs w:val="22"/>
        </w:rPr>
        <w:t xml:space="preserve">Things </w:t>
      </w:r>
      <w:r>
        <w:rPr>
          <w:b/>
          <w:color w:val="000000"/>
          <w:sz w:val="22"/>
          <w:szCs w:val="22"/>
        </w:rPr>
        <w:t>(IoT)</w:t>
      </w:r>
      <w:r>
        <w:rPr>
          <w:color w:val="000000"/>
          <w:sz w:val="22"/>
          <w:szCs w:val="22"/>
        </w:rPr>
        <w:t xml:space="preserve">, all of these processes are becoming interconnected. Farmers do not even need to be </w:t>
      </w:r>
      <w:r w:rsidR="003C2A4F">
        <w:rPr>
          <w:color w:val="000000"/>
          <w:sz w:val="22"/>
          <w:szCs w:val="22"/>
        </w:rPr>
        <w:t xml:space="preserve">on </w:t>
      </w:r>
      <w:r>
        <w:rPr>
          <w:color w:val="000000"/>
          <w:sz w:val="22"/>
          <w:szCs w:val="22"/>
        </w:rPr>
        <w:t>the tractor anymore</w:t>
      </w:r>
      <w:r w:rsidR="000C12CC">
        <w:rPr>
          <w:color w:val="000000"/>
          <w:sz w:val="22"/>
          <w:szCs w:val="22"/>
        </w:rPr>
        <w:t>.</w:t>
      </w:r>
      <w:r>
        <w:rPr>
          <w:color w:val="000000"/>
          <w:sz w:val="22"/>
          <w:szCs w:val="22"/>
        </w:rPr>
        <w:t xml:space="preserve"> They can set a tractor’s path on the computer</w:t>
      </w:r>
      <w:r w:rsidR="003C2A4F">
        <w:rPr>
          <w:color w:val="000000"/>
          <w:sz w:val="22"/>
          <w:szCs w:val="22"/>
        </w:rPr>
        <w:t>,</w:t>
      </w:r>
      <w:r>
        <w:rPr>
          <w:color w:val="000000"/>
          <w:sz w:val="22"/>
          <w:szCs w:val="22"/>
        </w:rPr>
        <w:t xml:space="preserve"> and with a combination of sensors in the field and GPS, the tractor knows where to go and what to do</w:t>
      </w:r>
      <w:r w:rsidR="000C12CC">
        <w:rPr>
          <w:color w:val="000000"/>
          <w:sz w:val="22"/>
          <w:szCs w:val="22"/>
        </w:rPr>
        <w:t>.</w:t>
      </w:r>
      <w:r>
        <w:rPr>
          <w:color w:val="000000"/>
          <w:sz w:val="22"/>
          <w:szCs w:val="22"/>
        </w:rPr>
        <w:t xml:space="preserve"> Oftentimes, a farmer can make management decisions from their phone. From moving digital </w:t>
      </w:r>
      <w:r>
        <w:rPr>
          <w:color w:val="000000"/>
          <w:sz w:val="22"/>
          <w:szCs w:val="22"/>
        </w:rPr>
        <w:lastRenderedPageBreak/>
        <w:t xml:space="preserve">fences that corral their cows to turning on their irrigation system, farmers have a wide range of technological farming equipment at their disposal. </w:t>
      </w:r>
      <w:r>
        <w:rPr>
          <w:noProof/>
          <w:color w:val="000000"/>
          <w:sz w:val="22"/>
          <w:szCs w:val="22"/>
        </w:rPr>
        <w:drawing>
          <wp:inline distT="0" distB="0" distL="0" distR="0" wp14:anchorId="38531286" wp14:editId="65FA76A5">
            <wp:extent cx="2971800" cy="1672936"/>
            <wp:effectExtent l="0" t="0" r="0" b="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0"/>
                    <a:srcRect/>
                    <a:stretch>
                      <a:fillRect/>
                    </a:stretch>
                  </pic:blipFill>
                  <pic:spPr>
                    <a:xfrm>
                      <a:off x="0" y="0"/>
                      <a:ext cx="2971800" cy="1672936"/>
                    </a:xfrm>
                    <a:prstGeom prst="rect">
                      <a:avLst/>
                    </a:prstGeom>
                    <a:ln/>
                  </pic:spPr>
                </pic:pic>
              </a:graphicData>
            </a:graphic>
          </wp:inline>
        </w:drawing>
      </w:r>
    </w:p>
    <w:p w14:paraId="72D5DC3D" w14:textId="77777777" w:rsidR="00AA3146" w:rsidRDefault="00502EF9">
      <w:pPr>
        <w:pBdr>
          <w:top w:val="nil"/>
          <w:left w:val="nil"/>
          <w:bottom w:val="nil"/>
          <w:right w:val="nil"/>
          <w:between w:val="nil"/>
        </w:pBdr>
        <w:spacing w:after="240"/>
        <w:rPr>
          <w:rFonts w:ascii="Quattrocento Sans" w:eastAsia="Quattrocento Sans" w:hAnsi="Quattrocento Sans" w:cs="Quattrocento Sans"/>
          <w:color w:val="30272E"/>
          <w:sz w:val="21"/>
          <w:szCs w:val="21"/>
          <w:highlight w:val="white"/>
        </w:rPr>
      </w:pPr>
      <w:r>
        <w:rPr>
          <w:rFonts w:ascii="Arial" w:eastAsia="Arial" w:hAnsi="Arial" w:cs="Arial"/>
          <w:color w:val="000000"/>
          <w:sz w:val="20"/>
          <w:szCs w:val="20"/>
        </w:rPr>
        <w:t xml:space="preserve">Figure 3. An autonomous tractor produced by John Deere. </w:t>
      </w:r>
      <w:r>
        <w:rPr>
          <w:rFonts w:ascii="Quattrocento Sans" w:eastAsia="Quattrocento Sans" w:hAnsi="Quattrocento Sans" w:cs="Quattrocento Sans"/>
          <w:color w:val="30272E"/>
          <w:sz w:val="21"/>
          <w:szCs w:val="21"/>
          <w:highlight w:val="white"/>
        </w:rPr>
        <w:t>"</w:t>
      </w:r>
      <w:hyperlink r:id="rId21">
        <w:r>
          <w:rPr>
            <w:rFonts w:ascii="Quattrocento Sans" w:eastAsia="Quattrocento Sans" w:hAnsi="Quattrocento Sans" w:cs="Quattrocento Sans"/>
            <w:color w:val="0000FF"/>
            <w:sz w:val="21"/>
            <w:szCs w:val="21"/>
            <w:highlight w:val="white"/>
            <w:u w:val="single"/>
          </w:rPr>
          <w:t>Our Future</w:t>
        </w:r>
      </w:hyperlink>
      <w:r>
        <w:rPr>
          <w:rFonts w:ascii="Quattrocento Sans" w:eastAsia="Quattrocento Sans" w:hAnsi="Quattrocento Sans" w:cs="Quattrocento Sans"/>
          <w:color w:val="30272E"/>
          <w:sz w:val="21"/>
          <w:szCs w:val="21"/>
          <w:highlight w:val="white"/>
        </w:rPr>
        <w:t>" by </w:t>
      </w:r>
      <w:hyperlink r:id="rId22">
        <w:r>
          <w:rPr>
            <w:rFonts w:ascii="Quattrocento Sans" w:eastAsia="Quattrocento Sans" w:hAnsi="Quattrocento Sans" w:cs="Quattrocento Sans"/>
            <w:color w:val="0000FF"/>
            <w:sz w:val="21"/>
            <w:szCs w:val="21"/>
            <w:highlight w:val="white"/>
            <w:u w:val="single"/>
          </w:rPr>
          <w:t>adamthelibrarian</w:t>
        </w:r>
      </w:hyperlink>
      <w:r>
        <w:rPr>
          <w:rFonts w:ascii="Quattrocento Sans" w:eastAsia="Quattrocento Sans" w:hAnsi="Quattrocento Sans" w:cs="Quattrocento Sans"/>
          <w:color w:val="30272E"/>
          <w:sz w:val="21"/>
          <w:szCs w:val="21"/>
          <w:highlight w:val="white"/>
        </w:rPr>
        <w:t> is licensed under </w:t>
      </w:r>
      <w:hyperlink r:id="rId23">
        <w:r>
          <w:rPr>
            <w:rFonts w:ascii="Quattrocento Sans" w:eastAsia="Quattrocento Sans" w:hAnsi="Quattrocento Sans" w:cs="Quattrocento Sans"/>
            <w:color w:val="0000FF"/>
            <w:sz w:val="21"/>
            <w:szCs w:val="21"/>
            <w:highlight w:val="white"/>
            <w:u w:val="single"/>
          </w:rPr>
          <w:t>CC BY-NC-SA 2.0</w:t>
        </w:r>
      </w:hyperlink>
      <w:r>
        <w:rPr>
          <w:rFonts w:ascii="Quattrocento Sans" w:eastAsia="Quattrocento Sans" w:hAnsi="Quattrocento Sans" w:cs="Quattrocento Sans"/>
          <w:color w:val="30272E"/>
          <w:sz w:val="21"/>
          <w:szCs w:val="21"/>
          <w:highlight w:val="white"/>
        </w:rPr>
        <w:t>.</w:t>
      </w:r>
    </w:p>
    <w:p w14:paraId="116EFE3C" w14:textId="77777777" w:rsidR="00AA3146" w:rsidRDefault="00502EF9">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54A67B38" wp14:editId="11D20709">
            <wp:extent cx="2864709" cy="2046221"/>
            <wp:effectExtent l="0" t="0" r="0" b="0"/>
            <wp:docPr id="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4"/>
                    <a:srcRect/>
                    <a:stretch>
                      <a:fillRect/>
                    </a:stretch>
                  </pic:blipFill>
                  <pic:spPr>
                    <a:xfrm>
                      <a:off x="0" y="0"/>
                      <a:ext cx="2864709" cy="2046221"/>
                    </a:xfrm>
                    <a:prstGeom prst="rect">
                      <a:avLst/>
                    </a:prstGeom>
                    <a:ln/>
                  </pic:spPr>
                </pic:pic>
              </a:graphicData>
            </a:graphic>
          </wp:inline>
        </w:drawing>
      </w:r>
    </w:p>
    <w:p w14:paraId="6A1BF0D4" w14:textId="77777777" w:rsidR="00AA3146" w:rsidRDefault="00502EF9">
      <w:pPr>
        <w:pBdr>
          <w:top w:val="nil"/>
          <w:left w:val="nil"/>
          <w:bottom w:val="nil"/>
          <w:right w:val="nil"/>
          <w:between w:val="nil"/>
        </w:pBdr>
        <w:spacing w:after="240"/>
        <w:rPr>
          <w:rFonts w:ascii="Quattrocento Sans" w:eastAsia="Quattrocento Sans" w:hAnsi="Quattrocento Sans" w:cs="Quattrocento Sans"/>
          <w:color w:val="30272E"/>
          <w:sz w:val="21"/>
          <w:szCs w:val="21"/>
          <w:highlight w:val="white"/>
        </w:rPr>
      </w:pPr>
      <w:r>
        <w:rPr>
          <w:rFonts w:ascii="Arial" w:eastAsia="Arial" w:hAnsi="Arial" w:cs="Arial"/>
          <w:color w:val="000000"/>
          <w:sz w:val="20"/>
          <w:szCs w:val="20"/>
        </w:rPr>
        <w:t>Figure 4. A center pivot irrigation system.</w:t>
      </w:r>
      <w:r>
        <w:rPr>
          <w:rFonts w:ascii="Quattrocento Sans" w:eastAsia="Quattrocento Sans" w:hAnsi="Quattrocento Sans" w:cs="Quattrocento Sans"/>
          <w:color w:val="30272E"/>
          <w:sz w:val="21"/>
          <w:szCs w:val="21"/>
          <w:highlight w:val="white"/>
        </w:rPr>
        <w:t xml:space="preserve"> "</w:t>
      </w:r>
      <w:hyperlink r:id="rId25">
        <w:r>
          <w:rPr>
            <w:rFonts w:ascii="Quattrocento Sans" w:eastAsia="Quattrocento Sans" w:hAnsi="Quattrocento Sans" w:cs="Quattrocento Sans"/>
            <w:color w:val="0000FF"/>
            <w:sz w:val="21"/>
            <w:szCs w:val="21"/>
            <w:highlight w:val="white"/>
            <w:u w:val="single"/>
          </w:rPr>
          <w:t>Center Pivot Irrigation System</w:t>
        </w:r>
      </w:hyperlink>
      <w:r>
        <w:rPr>
          <w:rFonts w:ascii="Quattrocento Sans" w:eastAsia="Quattrocento Sans" w:hAnsi="Quattrocento Sans" w:cs="Quattrocento Sans"/>
          <w:color w:val="30272E"/>
          <w:sz w:val="21"/>
          <w:szCs w:val="21"/>
          <w:highlight w:val="white"/>
        </w:rPr>
        <w:t>" by </w:t>
      </w:r>
      <w:hyperlink r:id="rId26">
        <w:r>
          <w:rPr>
            <w:rFonts w:ascii="Quattrocento Sans" w:eastAsia="Quattrocento Sans" w:hAnsi="Quattrocento Sans" w:cs="Quattrocento Sans"/>
            <w:color w:val="0000FF"/>
            <w:sz w:val="21"/>
            <w:szCs w:val="21"/>
            <w:highlight w:val="white"/>
            <w:u w:val="single"/>
          </w:rPr>
          <w:t>eutrophication&amp;hypoxia</w:t>
        </w:r>
      </w:hyperlink>
      <w:r>
        <w:rPr>
          <w:rFonts w:ascii="Quattrocento Sans" w:eastAsia="Quattrocento Sans" w:hAnsi="Quattrocento Sans" w:cs="Quattrocento Sans"/>
          <w:color w:val="30272E"/>
          <w:sz w:val="21"/>
          <w:szCs w:val="21"/>
          <w:highlight w:val="white"/>
        </w:rPr>
        <w:t> is licensed under </w:t>
      </w:r>
      <w:hyperlink r:id="rId27">
        <w:r>
          <w:rPr>
            <w:rFonts w:ascii="Quattrocento Sans" w:eastAsia="Quattrocento Sans" w:hAnsi="Quattrocento Sans" w:cs="Quattrocento Sans"/>
            <w:color w:val="0000FF"/>
            <w:sz w:val="21"/>
            <w:szCs w:val="21"/>
            <w:highlight w:val="white"/>
            <w:u w:val="single"/>
          </w:rPr>
          <w:t>CC BY 2.0</w:t>
        </w:r>
      </w:hyperlink>
      <w:r>
        <w:rPr>
          <w:rFonts w:ascii="Quattrocento Sans" w:eastAsia="Quattrocento Sans" w:hAnsi="Quattrocento Sans" w:cs="Quattrocento Sans"/>
          <w:color w:val="30272E"/>
          <w:sz w:val="21"/>
          <w:szCs w:val="21"/>
          <w:highlight w:val="white"/>
        </w:rPr>
        <w:t>.</w:t>
      </w:r>
    </w:p>
    <w:p w14:paraId="4CF2D539" w14:textId="77777777" w:rsidR="00AA3146" w:rsidRDefault="00502EF9" w:rsidP="00E257EA">
      <w:pPr>
        <w:pStyle w:val="Heading2"/>
      </w:pPr>
      <w:r>
        <w:t>Connection to Cyberbiosecurity</w:t>
      </w:r>
    </w:p>
    <w:p w14:paraId="1AEACE3E" w14:textId="77777777" w:rsidR="00AA3146" w:rsidRDefault="00502EF9" w:rsidP="00E257EA">
      <w:pPr>
        <w:pStyle w:val="Heading3"/>
        <w:spacing w:before="0"/>
        <w:rPr>
          <w:rFonts w:ascii="Times New Roman" w:eastAsia="Times New Roman" w:hAnsi="Times New Roman"/>
          <w:b w:val="0"/>
          <w:sz w:val="22"/>
          <w:szCs w:val="22"/>
        </w:rPr>
      </w:pPr>
      <w:r>
        <w:rPr>
          <w:rFonts w:ascii="Times New Roman" w:eastAsia="Times New Roman" w:hAnsi="Times New Roman"/>
          <w:b w:val="0"/>
          <w:sz w:val="22"/>
          <w:szCs w:val="22"/>
        </w:rPr>
        <w:t xml:space="preserve">With all of this technology, however, there are some risks. When you are online, you need to be careful </w:t>
      </w:r>
      <w:r w:rsidR="00B90437">
        <w:rPr>
          <w:rFonts w:ascii="Times New Roman" w:eastAsia="Times New Roman" w:hAnsi="Times New Roman"/>
          <w:b w:val="0"/>
          <w:sz w:val="22"/>
          <w:szCs w:val="22"/>
        </w:rPr>
        <w:t xml:space="preserve">about </w:t>
      </w:r>
      <w:r w:rsidR="003C2A4F">
        <w:rPr>
          <w:rFonts w:ascii="Times New Roman" w:eastAsia="Times New Roman" w:hAnsi="Times New Roman"/>
          <w:b w:val="0"/>
          <w:sz w:val="22"/>
          <w:szCs w:val="22"/>
        </w:rPr>
        <w:t>the</w:t>
      </w:r>
      <w:r>
        <w:rPr>
          <w:rFonts w:ascii="Times New Roman" w:eastAsia="Times New Roman" w:hAnsi="Times New Roman"/>
          <w:b w:val="0"/>
          <w:sz w:val="22"/>
          <w:szCs w:val="22"/>
        </w:rPr>
        <w:t xml:space="preserve"> sites you </w:t>
      </w:r>
      <w:r w:rsidR="003C2A4F">
        <w:rPr>
          <w:rFonts w:ascii="Times New Roman" w:eastAsia="Times New Roman" w:hAnsi="Times New Roman"/>
          <w:b w:val="0"/>
          <w:sz w:val="22"/>
          <w:szCs w:val="22"/>
        </w:rPr>
        <w:t>visit</w:t>
      </w:r>
      <w:r>
        <w:rPr>
          <w:rFonts w:ascii="Times New Roman" w:eastAsia="Times New Roman" w:hAnsi="Times New Roman"/>
          <w:b w:val="0"/>
          <w:sz w:val="22"/>
          <w:szCs w:val="22"/>
        </w:rPr>
        <w:t xml:space="preserve"> and who you talk to. If not, you open yourself up to </w:t>
      </w:r>
      <w:r>
        <w:rPr>
          <w:rFonts w:ascii="Times New Roman" w:eastAsia="Times New Roman" w:hAnsi="Times New Roman"/>
          <w:sz w:val="22"/>
          <w:szCs w:val="22"/>
        </w:rPr>
        <w:t>phishing scams, ransomware</w:t>
      </w:r>
      <w:r>
        <w:rPr>
          <w:rFonts w:ascii="Times New Roman" w:eastAsia="Times New Roman" w:hAnsi="Times New Roman"/>
          <w:b w:val="0"/>
          <w:sz w:val="22"/>
          <w:szCs w:val="22"/>
        </w:rPr>
        <w:t>, and other risks. Farmers have the same issue now. There are many aspects that farmers today have to be careful with</w:t>
      </w:r>
      <w:r w:rsidR="004D5131">
        <w:rPr>
          <w:rFonts w:ascii="Times New Roman" w:eastAsia="Times New Roman" w:hAnsi="Times New Roman"/>
          <w:b w:val="0"/>
          <w:sz w:val="22"/>
          <w:szCs w:val="22"/>
        </w:rPr>
        <w:t>,</w:t>
      </w:r>
      <w:r>
        <w:rPr>
          <w:rFonts w:ascii="Times New Roman" w:eastAsia="Times New Roman" w:hAnsi="Times New Roman"/>
          <w:b w:val="0"/>
          <w:sz w:val="22"/>
          <w:szCs w:val="22"/>
        </w:rPr>
        <w:t xml:space="preserve"> including the data they create, their internet connectivity</w:t>
      </w:r>
      <w:r w:rsidR="004D5131">
        <w:rPr>
          <w:rFonts w:ascii="Times New Roman" w:eastAsia="Times New Roman" w:hAnsi="Times New Roman"/>
          <w:b w:val="0"/>
          <w:sz w:val="22"/>
          <w:szCs w:val="22"/>
        </w:rPr>
        <w:t>,</w:t>
      </w:r>
      <w:r>
        <w:rPr>
          <w:rFonts w:ascii="Times New Roman" w:eastAsia="Times New Roman" w:hAnsi="Times New Roman"/>
          <w:b w:val="0"/>
          <w:sz w:val="22"/>
          <w:szCs w:val="22"/>
        </w:rPr>
        <w:t xml:space="preserve"> and computer updates for tractors. This overlap between security, agriculture, and technology is referred to as cyberbiosecurity. Cyberbiosecurity is quickly becoming a large part of agriculture. For example, while drones are helpful, they can produce images like the one below that often need to be analyzed by a specialist. Being able to understand what sites and services are trustworthy will be</w:t>
      </w:r>
      <w:r w:rsidR="004D5131">
        <w:rPr>
          <w:rFonts w:ascii="Times New Roman" w:eastAsia="Times New Roman" w:hAnsi="Times New Roman"/>
          <w:b w:val="0"/>
          <w:sz w:val="22"/>
          <w:szCs w:val="22"/>
        </w:rPr>
        <w:t>come</w:t>
      </w:r>
      <w:r>
        <w:rPr>
          <w:rFonts w:ascii="Times New Roman" w:eastAsia="Times New Roman" w:hAnsi="Times New Roman"/>
          <w:b w:val="0"/>
          <w:sz w:val="22"/>
          <w:szCs w:val="22"/>
        </w:rPr>
        <w:t xml:space="preserve"> increasingly important for farmers in the future. </w:t>
      </w:r>
    </w:p>
    <w:p w14:paraId="3CF6CE88" w14:textId="77777777" w:rsidR="00AA3146" w:rsidRDefault="00502EF9">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4164A921" wp14:editId="4DB92E0E">
            <wp:extent cx="2991982" cy="2112696"/>
            <wp:effectExtent l="0" t="0" r="0" b="0"/>
            <wp:docPr id="1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8"/>
                    <a:srcRect/>
                    <a:stretch>
                      <a:fillRect/>
                    </a:stretch>
                  </pic:blipFill>
                  <pic:spPr>
                    <a:xfrm>
                      <a:off x="0" y="0"/>
                      <a:ext cx="2991982" cy="2112696"/>
                    </a:xfrm>
                    <a:prstGeom prst="rect">
                      <a:avLst/>
                    </a:prstGeom>
                    <a:ln/>
                  </pic:spPr>
                </pic:pic>
              </a:graphicData>
            </a:graphic>
          </wp:inline>
        </w:drawing>
      </w:r>
    </w:p>
    <w:p w14:paraId="635DFF1C" w14:textId="77777777" w:rsidR="00AA3146" w:rsidRDefault="00502EF9">
      <w:pPr>
        <w:pBdr>
          <w:top w:val="nil"/>
          <w:left w:val="nil"/>
          <w:bottom w:val="nil"/>
          <w:right w:val="nil"/>
          <w:between w:val="nil"/>
        </w:pBdr>
        <w:spacing w:after="240"/>
        <w:rPr>
          <w:rFonts w:ascii="Quattrocento Sans" w:eastAsia="Quattrocento Sans" w:hAnsi="Quattrocento Sans" w:cs="Quattrocento Sans"/>
          <w:color w:val="30272E"/>
          <w:sz w:val="21"/>
          <w:szCs w:val="21"/>
          <w:highlight w:val="white"/>
        </w:rPr>
      </w:pPr>
      <w:r>
        <w:rPr>
          <w:rFonts w:ascii="Arial" w:eastAsia="Arial" w:hAnsi="Arial" w:cs="Arial"/>
          <w:color w:val="000000"/>
          <w:sz w:val="20"/>
          <w:szCs w:val="20"/>
        </w:rPr>
        <w:t xml:space="preserve">Figure 5. A NDVI “Normalized Difference Vegetative Index” image taken by a drone to show crops that </w:t>
      </w:r>
      <w:r w:rsidR="004D5131">
        <w:rPr>
          <w:rFonts w:ascii="Arial" w:eastAsia="Arial" w:hAnsi="Arial" w:cs="Arial"/>
          <w:color w:val="000000"/>
          <w:sz w:val="20"/>
          <w:szCs w:val="20"/>
        </w:rPr>
        <w:t xml:space="preserve">are </w:t>
      </w:r>
      <w:r>
        <w:rPr>
          <w:rFonts w:ascii="Arial" w:eastAsia="Arial" w:hAnsi="Arial" w:cs="Arial"/>
          <w:color w:val="000000"/>
          <w:sz w:val="20"/>
          <w:szCs w:val="20"/>
        </w:rPr>
        <w:t xml:space="preserve">stressed </w:t>
      </w:r>
      <w:r w:rsidR="004D5131">
        <w:rPr>
          <w:rFonts w:ascii="Arial" w:eastAsia="Arial" w:hAnsi="Arial" w:cs="Arial"/>
          <w:color w:val="000000"/>
          <w:sz w:val="20"/>
          <w:szCs w:val="20"/>
        </w:rPr>
        <w:t xml:space="preserve">versus </w:t>
      </w:r>
      <w:r>
        <w:rPr>
          <w:rFonts w:ascii="Arial" w:eastAsia="Arial" w:hAnsi="Arial" w:cs="Arial"/>
          <w:color w:val="000000"/>
          <w:sz w:val="20"/>
          <w:szCs w:val="20"/>
        </w:rPr>
        <w:t xml:space="preserve">ones that are healthy. </w:t>
      </w:r>
      <w:r>
        <w:rPr>
          <w:rFonts w:ascii="Quattrocento Sans" w:eastAsia="Quattrocento Sans" w:hAnsi="Quattrocento Sans" w:cs="Quattrocento Sans"/>
          <w:color w:val="30272E"/>
          <w:sz w:val="21"/>
          <w:szCs w:val="21"/>
          <w:highlight w:val="white"/>
        </w:rPr>
        <w:t>"</w:t>
      </w:r>
      <w:hyperlink r:id="rId29">
        <w:r>
          <w:rPr>
            <w:rFonts w:ascii="Quattrocento Sans" w:eastAsia="Quattrocento Sans" w:hAnsi="Quattrocento Sans" w:cs="Quattrocento Sans"/>
            <w:color w:val="0000FF"/>
            <w:sz w:val="21"/>
            <w:szCs w:val="21"/>
            <w:highlight w:val="white"/>
            <w:u w:val="single"/>
          </w:rPr>
          <w:t>Agricultural art</w:t>
        </w:r>
      </w:hyperlink>
      <w:r>
        <w:rPr>
          <w:rFonts w:ascii="Quattrocento Sans" w:eastAsia="Quattrocento Sans" w:hAnsi="Quattrocento Sans" w:cs="Quattrocento Sans"/>
          <w:color w:val="30272E"/>
          <w:sz w:val="21"/>
          <w:szCs w:val="21"/>
          <w:highlight w:val="white"/>
        </w:rPr>
        <w:t>" by </w:t>
      </w:r>
      <w:hyperlink r:id="rId30">
        <w:r>
          <w:rPr>
            <w:rFonts w:ascii="Quattrocento Sans" w:eastAsia="Quattrocento Sans" w:hAnsi="Quattrocento Sans" w:cs="Quattrocento Sans"/>
            <w:color w:val="0000FF"/>
            <w:sz w:val="21"/>
            <w:szCs w:val="21"/>
            <w:highlight w:val="white"/>
            <w:u w:val="single"/>
          </w:rPr>
          <w:t>Antarsih</w:t>
        </w:r>
      </w:hyperlink>
      <w:r>
        <w:rPr>
          <w:rFonts w:ascii="Quattrocento Sans" w:eastAsia="Quattrocento Sans" w:hAnsi="Quattrocento Sans" w:cs="Quattrocento Sans"/>
          <w:color w:val="30272E"/>
          <w:sz w:val="21"/>
          <w:szCs w:val="21"/>
          <w:highlight w:val="white"/>
        </w:rPr>
        <w:t> is licensed under </w:t>
      </w:r>
      <w:hyperlink r:id="rId31">
        <w:r>
          <w:rPr>
            <w:rFonts w:ascii="Quattrocento Sans" w:eastAsia="Quattrocento Sans" w:hAnsi="Quattrocento Sans" w:cs="Quattrocento Sans"/>
            <w:color w:val="0000FF"/>
            <w:sz w:val="21"/>
            <w:szCs w:val="21"/>
            <w:highlight w:val="white"/>
            <w:u w:val="single"/>
          </w:rPr>
          <w:t>CC BY 4.0</w:t>
        </w:r>
      </w:hyperlink>
    </w:p>
    <w:p w14:paraId="2810CEDB" w14:textId="77777777" w:rsidR="00AA3146" w:rsidRDefault="00AA3146"/>
    <w:p w14:paraId="27DC80CD" w14:textId="77777777" w:rsidR="00AA3146" w:rsidRDefault="00502EF9">
      <w:pPr>
        <w:pStyle w:val="Heading2"/>
      </w:pPr>
      <w:r>
        <w:lastRenderedPageBreak/>
        <w:t>Conclusion</w:t>
      </w:r>
    </w:p>
    <w:p w14:paraId="5145F8C3" w14:textId="77777777" w:rsidR="00AA3146" w:rsidRDefault="00502EF9" w:rsidP="00E257EA">
      <w:pPr>
        <w:pStyle w:val="Heading3"/>
        <w:spacing w:before="0"/>
        <w:rPr>
          <w:rFonts w:ascii="Times New Roman" w:eastAsia="Times New Roman" w:hAnsi="Times New Roman"/>
          <w:b w:val="0"/>
          <w:sz w:val="22"/>
          <w:szCs w:val="22"/>
        </w:rPr>
      </w:pPr>
      <w:r>
        <w:rPr>
          <w:rFonts w:ascii="Times New Roman" w:eastAsia="Times New Roman" w:hAnsi="Times New Roman"/>
          <w:b w:val="0"/>
          <w:sz w:val="22"/>
          <w:szCs w:val="22"/>
        </w:rPr>
        <w:t xml:space="preserve">Agriculture has become much more technologically advanced in recent years. Farming relies on </w:t>
      </w:r>
      <w:r>
        <w:rPr>
          <w:rFonts w:ascii="Times New Roman" w:eastAsia="Times New Roman" w:hAnsi="Times New Roman"/>
          <w:sz w:val="22"/>
          <w:szCs w:val="22"/>
        </w:rPr>
        <w:t>Big Data</w:t>
      </w:r>
      <w:r>
        <w:rPr>
          <w:rFonts w:ascii="Times New Roman" w:eastAsia="Times New Roman" w:hAnsi="Times New Roman"/>
          <w:b w:val="0"/>
          <w:sz w:val="22"/>
          <w:szCs w:val="22"/>
        </w:rPr>
        <w:t xml:space="preserve">, the </w:t>
      </w:r>
      <w:r w:rsidR="000D122D">
        <w:rPr>
          <w:rFonts w:ascii="Times New Roman" w:eastAsia="Times New Roman" w:hAnsi="Times New Roman"/>
          <w:b w:val="0"/>
          <w:sz w:val="22"/>
          <w:szCs w:val="22"/>
        </w:rPr>
        <w:t xml:space="preserve">Internet </w:t>
      </w:r>
      <w:r>
        <w:rPr>
          <w:rFonts w:ascii="Times New Roman" w:eastAsia="Times New Roman" w:hAnsi="Times New Roman"/>
          <w:b w:val="0"/>
          <w:sz w:val="22"/>
          <w:szCs w:val="22"/>
        </w:rPr>
        <w:t xml:space="preserve">of </w:t>
      </w:r>
      <w:r w:rsidR="000D122D">
        <w:rPr>
          <w:rFonts w:ascii="Times New Roman" w:eastAsia="Times New Roman" w:hAnsi="Times New Roman"/>
          <w:b w:val="0"/>
          <w:sz w:val="22"/>
          <w:szCs w:val="22"/>
        </w:rPr>
        <w:t>Things</w:t>
      </w:r>
      <w:r>
        <w:rPr>
          <w:rFonts w:ascii="Times New Roman" w:eastAsia="Times New Roman" w:hAnsi="Times New Roman"/>
          <w:b w:val="0"/>
          <w:sz w:val="22"/>
          <w:szCs w:val="22"/>
        </w:rPr>
        <w:t xml:space="preserve">, and </w:t>
      </w:r>
      <w:r>
        <w:rPr>
          <w:rFonts w:ascii="Times New Roman" w:eastAsia="Times New Roman" w:hAnsi="Times New Roman"/>
          <w:sz w:val="22"/>
          <w:szCs w:val="22"/>
        </w:rPr>
        <w:t>data literacy</w:t>
      </w:r>
      <w:r>
        <w:rPr>
          <w:rFonts w:ascii="Times New Roman" w:eastAsia="Times New Roman" w:hAnsi="Times New Roman"/>
          <w:b w:val="0"/>
          <w:sz w:val="22"/>
          <w:szCs w:val="22"/>
        </w:rPr>
        <w:t xml:space="preserve"> to operate </w:t>
      </w:r>
      <w:r w:rsidR="004D5131">
        <w:rPr>
          <w:rFonts w:ascii="Times New Roman" w:eastAsia="Times New Roman" w:hAnsi="Times New Roman"/>
          <w:b w:val="0"/>
          <w:sz w:val="22"/>
          <w:szCs w:val="22"/>
        </w:rPr>
        <w:t>large-</w:t>
      </w:r>
      <w:r>
        <w:rPr>
          <w:rFonts w:ascii="Times New Roman" w:eastAsia="Times New Roman" w:hAnsi="Times New Roman"/>
          <w:b w:val="0"/>
          <w:sz w:val="22"/>
          <w:szCs w:val="22"/>
        </w:rPr>
        <w:t xml:space="preserve">scale farms today. The average age of a farmer in Virginia is 58. While farmers are learning the basics of digital farming, they did not grow up with the internet like the younger generations. This means </w:t>
      </w:r>
      <w:r w:rsidR="00C15766">
        <w:rPr>
          <w:rFonts w:ascii="Times New Roman" w:eastAsia="Times New Roman" w:hAnsi="Times New Roman"/>
          <w:b w:val="0"/>
          <w:sz w:val="22"/>
          <w:szCs w:val="22"/>
        </w:rPr>
        <w:t xml:space="preserve">that </w:t>
      </w:r>
      <w:r>
        <w:rPr>
          <w:rFonts w:ascii="Times New Roman" w:eastAsia="Times New Roman" w:hAnsi="Times New Roman"/>
          <w:b w:val="0"/>
          <w:sz w:val="22"/>
          <w:szCs w:val="22"/>
        </w:rPr>
        <w:t>something that comes naturally to those in middle school now</w:t>
      </w:r>
      <w:r w:rsidR="004D5131">
        <w:rPr>
          <w:rFonts w:ascii="Times New Roman" w:eastAsia="Times New Roman" w:hAnsi="Times New Roman"/>
          <w:b w:val="0"/>
          <w:sz w:val="22"/>
          <w:szCs w:val="22"/>
        </w:rPr>
        <w:t>,</w:t>
      </w:r>
      <w:r>
        <w:rPr>
          <w:rFonts w:ascii="Times New Roman" w:eastAsia="Times New Roman" w:hAnsi="Times New Roman"/>
          <w:b w:val="0"/>
          <w:sz w:val="22"/>
          <w:szCs w:val="22"/>
        </w:rPr>
        <w:t xml:space="preserve"> like flying drones, setting up smart devices, and being safe on the internet, may not be as easy for some farmers. So, careers in agricultural data analytics, remote sensing, and tractor technicians need professionals skilled in computer science and agricultural science to help our farmers keep their farms safe and food on our tables. </w:t>
      </w:r>
    </w:p>
    <w:p w14:paraId="046524D7" w14:textId="77777777" w:rsidR="00AA3146" w:rsidRDefault="00AA3146"/>
    <w:p w14:paraId="3742F0F9" w14:textId="77777777" w:rsidR="00AA3146" w:rsidRDefault="00502EF9">
      <w:pPr>
        <w:pBdr>
          <w:top w:val="nil"/>
          <w:left w:val="nil"/>
          <w:bottom w:val="nil"/>
          <w:right w:val="nil"/>
          <w:between w:val="nil"/>
        </w:pBdr>
        <w:spacing w:after="240"/>
        <w:rPr>
          <w:color w:val="000000"/>
          <w:sz w:val="22"/>
          <w:szCs w:val="22"/>
        </w:rPr>
      </w:pPr>
      <w:r>
        <w:rPr>
          <w:rFonts w:ascii="Arial" w:eastAsia="Arial" w:hAnsi="Arial" w:cs="Arial"/>
          <w:b/>
          <w:color w:val="000000"/>
          <w:sz w:val="36"/>
          <w:szCs w:val="36"/>
        </w:rPr>
        <w:t>Glossary</w:t>
      </w:r>
      <w:r>
        <w:rPr>
          <w:color w:val="000000"/>
          <w:sz w:val="22"/>
          <w:szCs w:val="22"/>
        </w:rPr>
        <w:t xml:space="preserve"> </w:t>
      </w:r>
    </w:p>
    <w:p w14:paraId="1E234206" w14:textId="77777777" w:rsidR="00AA3146" w:rsidRDefault="00502EF9">
      <w:pPr>
        <w:pBdr>
          <w:top w:val="nil"/>
          <w:left w:val="nil"/>
          <w:bottom w:val="nil"/>
          <w:right w:val="nil"/>
          <w:between w:val="nil"/>
        </w:pBdr>
        <w:spacing w:after="240"/>
        <w:ind w:left="288" w:hanging="288"/>
        <w:rPr>
          <w:color w:val="000000"/>
          <w:sz w:val="22"/>
          <w:szCs w:val="22"/>
        </w:rPr>
      </w:pPr>
      <w:r>
        <w:rPr>
          <w:b/>
          <w:color w:val="000000"/>
          <w:sz w:val="22"/>
          <w:szCs w:val="22"/>
        </w:rPr>
        <w:t>Big Data</w:t>
      </w:r>
      <w:r>
        <w:rPr>
          <w:color w:val="000000"/>
          <w:sz w:val="22"/>
          <w:szCs w:val="22"/>
        </w:rPr>
        <w:t xml:space="preserve">: Data sets that are increasingly large and complex, in which we can find helpful trends that would </w:t>
      </w:r>
      <w:r w:rsidR="00C15766">
        <w:rPr>
          <w:color w:val="000000"/>
          <w:sz w:val="22"/>
          <w:szCs w:val="22"/>
        </w:rPr>
        <w:t xml:space="preserve">otherwise </w:t>
      </w:r>
      <w:r>
        <w:rPr>
          <w:color w:val="000000"/>
          <w:sz w:val="22"/>
          <w:szCs w:val="22"/>
        </w:rPr>
        <w:t>not be apparent</w:t>
      </w:r>
      <w:r w:rsidR="004D5131">
        <w:rPr>
          <w:color w:val="000000"/>
          <w:sz w:val="22"/>
          <w:szCs w:val="22"/>
        </w:rPr>
        <w:t>.</w:t>
      </w:r>
    </w:p>
    <w:p w14:paraId="49A8912F" w14:textId="77777777" w:rsidR="00AA3146" w:rsidRDefault="00502EF9">
      <w:pPr>
        <w:pBdr>
          <w:top w:val="nil"/>
          <w:left w:val="nil"/>
          <w:bottom w:val="nil"/>
          <w:right w:val="nil"/>
          <w:between w:val="nil"/>
        </w:pBdr>
        <w:spacing w:after="240"/>
        <w:ind w:left="288" w:hanging="288"/>
        <w:rPr>
          <w:color w:val="000000"/>
          <w:sz w:val="22"/>
          <w:szCs w:val="22"/>
        </w:rPr>
      </w:pPr>
      <w:r>
        <w:rPr>
          <w:b/>
          <w:color w:val="000000"/>
          <w:sz w:val="22"/>
          <w:szCs w:val="22"/>
        </w:rPr>
        <w:t>Data Literacy</w:t>
      </w:r>
      <w:r>
        <w:rPr>
          <w:color w:val="000000"/>
          <w:sz w:val="22"/>
          <w:szCs w:val="22"/>
        </w:rPr>
        <w:t>: The ability to read, work with, analyze, and communicate measures or records in context</w:t>
      </w:r>
      <w:r w:rsidR="004D5131">
        <w:rPr>
          <w:color w:val="000000"/>
          <w:sz w:val="22"/>
          <w:szCs w:val="22"/>
        </w:rPr>
        <w:t>.</w:t>
      </w:r>
    </w:p>
    <w:p w14:paraId="62D689F8" w14:textId="77777777" w:rsidR="00AA3146" w:rsidRDefault="00502EF9">
      <w:pPr>
        <w:pBdr>
          <w:top w:val="nil"/>
          <w:left w:val="nil"/>
          <w:bottom w:val="nil"/>
          <w:right w:val="nil"/>
          <w:between w:val="nil"/>
        </w:pBdr>
        <w:spacing w:after="240"/>
        <w:ind w:left="288" w:hanging="288"/>
        <w:rPr>
          <w:color w:val="000000"/>
          <w:sz w:val="22"/>
          <w:szCs w:val="22"/>
        </w:rPr>
      </w:pPr>
      <w:r>
        <w:rPr>
          <w:b/>
          <w:color w:val="000000"/>
          <w:sz w:val="22"/>
          <w:szCs w:val="22"/>
        </w:rPr>
        <w:t>Internet of Things</w:t>
      </w:r>
      <w:r>
        <w:rPr>
          <w:color w:val="000000"/>
          <w:sz w:val="22"/>
          <w:szCs w:val="22"/>
        </w:rPr>
        <w:t>: The connectivity between different computers</w:t>
      </w:r>
      <w:r w:rsidR="004D5131">
        <w:rPr>
          <w:color w:val="000000"/>
          <w:sz w:val="22"/>
          <w:szCs w:val="22"/>
        </w:rPr>
        <w:t xml:space="preserve">, </w:t>
      </w:r>
      <w:r>
        <w:rPr>
          <w:color w:val="000000"/>
          <w:sz w:val="22"/>
          <w:szCs w:val="22"/>
        </w:rPr>
        <w:t>sensors</w:t>
      </w:r>
      <w:r w:rsidR="004D5131">
        <w:rPr>
          <w:color w:val="000000"/>
          <w:sz w:val="22"/>
          <w:szCs w:val="22"/>
        </w:rPr>
        <w:t xml:space="preserve">, </w:t>
      </w:r>
      <w:r>
        <w:rPr>
          <w:color w:val="000000"/>
          <w:sz w:val="22"/>
          <w:szCs w:val="22"/>
        </w:rPr>
        <w:t>products</w:t>
      </w:r>
      <w:r w:rsidR="004D5131">
        <w:rPr>
          <w:color w:val="000000"/>
          <w:sz w:val="22"/>
          <w:szCs w:val="22"/>
        </w:rPr>
        <w:t xml:space="preserve">, and </w:t>
      </w:r>
      <w:r>
        <w:rPr>
          <w:color w:val="000000"/>
          <w:sz w:val="22"/>
          <w:szCs w:val="22"/>
        </w:rPr>
        <w:t>processes via the internet.</w:t>
      </w:r>
    </w:p>
    <w:p w14:paraId="5B77DD63" w14:textId="77777777" w:rsidR="00AA3146" w:rsidRDefault="00502EF9">
      <w:pPr>
        <w:pBdr>
          <w:top w:val="nil"/>
          <w:left w:val="nil"/>
          <w:bottom w:val="nil"/>
          <w:right w:val="nil"/>
          <w:between w:val="nil"/>
        </w:pBdr>
        <w:spacing w:after="240"/>
        <w:ind w:left="288" w:hanging="288"/>
        <w:rPr>
          <w:color w:val="000000"/>
          <w:sz w:val="22"/>
          <w:szCs w:val="22"/>
        </w:rPr>
      </w:pPr>
      <w:r>
        <w:rPr>
          <w:b/>
          <w:color w:val="000000"/>
          <w:sz w:val="22"/>
          <w:szCs w:val="22"/>
        </w:rPr>
        <w:t>Phishing Scam</w:t>
      </w:r>
      <w:r>
        <w:rPr>
          <w:color w:val="000000"/>
          <w:sz w:val="22"/>
          <w:szCs w:val="22"/>
        </w:rPr>
        <w:t>: A type of online scam that targets consumers by sending them an e-mail that appears to be from a well-known source</w:t>
      </w:r>
      <w:r w:rsidR="004D5131">
        <w:rPr>
          <w:color w:val="000000"/>
          <w:sz w:val="22"/>
          <w:szCs w:val="22"/>
        </w:rPr>
        <w:t>—</w:t>
      </w:r>
      <w:r>
        <w:rPr>
          <w:color w:val="000000"/>
          <w:sz w:val="22"/>
          <w:szCs w:val="22"/>
        </w:rPr>
        <w:t>an internet service provider, a bank, or a mortgage company</w:t>
      </w:r>
      <w:r w:rsidR="004D5131">
        <w:rPr>
          <w:color w:val="000000"/>
          <w:sz w:val="22"/>
          <w:szCs w:val="22"/>
        </w:rPr>
        <w:t>.</w:t>
      </w:r>
    </w:p>
    <w:p w14:paraId="20750731" w14:textId="77777777" w:rsidR="00AA3146" w:rsidRDefault="00502EF9">
      <w:pPr>
        <w:pBdr>
          <w:top w:val="nil"/>
          <w:left w:val="nil"/>
          <w:bottom w:val="nil"/>
          <w:right w:val="nil"/>
          <w:between w:val="nil"/>
        </w:pBdr>
        <w:spacing w:after="240"/>
        <w:ind w:left="288" w:hanging="288"/>
        <w:rPr>
          <w:color w:val="000000"/>
          <w:sz w:val="22"/>
          <w:szCs w:val="22"/>
        </w:rPr>
      </w:pPr>
      <w:r>
        <w:rPr>
          <w:b/>
          <w:color w:val="000000"/>
          <w:sz w:val="22"/>
          <w:szCs w:val="22"/>
        </w:rPr>
        <w:t>Ransomware</w:t>
      </w:r>
      <w:r>
        <w:rPr>
          <w:color w:val="000000"/>
          <w:sz w:val="22"/>
          <w:szCs w:val="22"/>
        </w:rPr>
        <w:t>: a type of malicious software designed to block access to a computer system until a sum of money is paid.</w:t>
      </w:r>
    </w:p>
    <w:p w14:paraId="44A1AFAD" w14:textId="77777777" w:rsidR="00AA3146" w:rsidRDefault="00502EF9">
      <w:pPr>
        <w:pStyle w:val="Heading3"/>
      </w:pPr>
      <w:r>
        <w:t>References</w:t>
      </w:r>
    </w:p>
    <w:p w14:paraId="09DD67A1" w14:textId="77777777" w:rsidR="00AA3146" w:rsidRPr="00731EAE" w:rsidRDefault="00502EF9">
      <w:pPr>
        <w:pBdr>
          <w:top w:val="nil"/>
          <w:left w:val="nil"/>
          <w:bottom w:val="nil"/>
          <w:right w:val="nil"/>
          <w:between w:val="nil"/>
        </w:pBdr>
        <w:ind w:left="720" w:hanging="720"/>
        <w:rPr>
          <w:rFonts w:eastAsia="Calibri"/>
          <w:color w:val="000000"/>
          <w:sz w:val="22"/>
          <w:szCs w:val="22"/>
        </w:rPr>
      </w:pPr>
      <w:r w:rsidRPr="00731EAE">
        <w:rPr>
          <w:rFonts w:eastAsia="Calibri"/>
          <w:color w:val="000000"/>
          <w:sz w:val="22"/>
          <w:szCs w:val="22"/>
        </w:rPr>
        <w:t xml:space="preserve">Coble, K. H., Mishra, A. K., Ferrell, S., &amp; Griffin, T. (2018). Big Data in Agriculture: A Challenge for the Future. </w:t>
      </w:r>
      <w:r w:rsidRPr="00731EAE">
        <w:rPr>
          <w:rFonts w:eastAsia="Calibri"/>
          <w:i/>
          <w:color w:val="000000"/>
          <w:sz w:val="22"/>
          <w:szCs w:val="22"/>
        </w:rPr>
        <w:t>Applied Economic Perspectives and Policy</w:t>
      </w:r>
      <w:r w:rsidRPr="00731EAE">
        <w:rPr>
          <w:rFonts w:eastAsia="Calibri"/>
          <w:color w:val="000000"/>
          <w:sz w:val="22"/>
          <w:szCs w:val="22"/>
        </w:rPr>
        <w:t xml:space="preserve">, </w:t>
      </w:r>
      <w:r w:rsidRPr="00731EAE">
        <w:rPr>
          <w:rFonts w:eastAsia="Calibri"/>
          <w:i/>
          <w:color w:val="000000"/>
          <w:sz w:val="22"/>
          <w:szCs w:val="22"/>
        </w:rPr>
        <w:t>40</w:t>
      </w:r>
      <w:r w:rsidRPr="00731EAE">
        <w:rPr>
          <w:rFonts w:eastAsia="Calibri"/>
          <w:color w:val="000000"/>
          <w:sz w:val="22"/>
          <w:szCs w:val="22"/>
        </w:rPr>
        <w:t>(1), 79–96. https://doi.org/10.1093/aepp/ppx056</w:t>
      </w:r>
    </w:p>
    <w:p w14:paraId="0DDD2E8F" w14:textId="77777777" w:rsidR="00AA3146" w:rsidRPr="00731EAE" w:rsidRDefault="00502EF9">
      <w:pPr>
        <w:pBdr>
          <w:top w:val="nil"/>
          <w:left w:val="nil"/>
          <w:bottom w:val="nil"/>
          <w:right w:val="nil"/>
          <w:between w:val="nil"/>
        </w:pBdr>
        <w:ind w:left="720" w:hanging="720"/>
        <w:rPr>
          <w:rFonts w:eastAsia="Calibri"/>
          <w:color w:val="000000"/>
          <w:sz w:val="22"/>
          <w:szCs w:val="22"/>
        </w:rPr>
      </w:pPr>
      <w:r w:rsidRPr="00731EAE">
        <w:rPr>
          <w:rFonts w:eastAsia="Calibri"/>
          <w:color w:val="000000"/>
          <w:sz w:val="22"/>
          <w:szCs w:val="22"/>
        </w:rPr>
        <w:t xml:space="preserve">Erickson, B., Fausti, S., Clay, D., &amp; Clay, S. (2018). Knowledge, Skills, and Abilities in the Precision Agriculture Workforce: An </w:t>
      </w:r>
      <w:r w:rsidRPr="00731EAE">
        <w:rPr>
          <w:rFonts w:eastAsia="Calibri"/>
          <w:color w:val="000000"/>
          <w:sz w:val="22"/>
          <w:szCs w:val="22"/>
        </w:rPr>
        <w:t xml:space="preserve">Industry Survey. </w:t>
      </w:r>
      <w:r w:rsidRPr="00731EAE">
        <w:rPr>
          <w:rFonts w:eastAsia="Calibri"/>
          <w:i/>
          <w:color w:val="000000"/>
          <w:sz w:val="22"/>
          <w:szCs w:val="22"/>
        </w:rPr>
        <w:t>Natural Sciences Education</w:t>
      </w:r>
      <w:r w:rsidRPr="00731EAE">
        <w:rPr>
          <w:rFonts w:eastAsia="Calibri"/>
          <w:color w:val="000000"/>
          <w:sz w:val="22"/>
          <w:szCs w:val="22"/>
        </w:rPr>
        <w:t xml:space="preserve">, </w:t>
      </w:r>
      <w:r w:rsidRPr="00731EAE">
        <w:rPr>
          <w:rFonts w:eastAsia="Calibri"/>
          <w:i/>
          <w:color w:val="000000"/>
          <w:sz w:val="22"/>
          <w:szCs w:val="22"/>
        </w:rPr>
        <w:t>47</w:t>
      </w:r>
      <w:r w:rsidRPr="00731EAE">
        <w:rPr>
          <w:rFonts w:eastAsia="Calibri"/>
          <w:color w:val="000000"/>
          <w:sz w:val="22"/>
          <w:szCs w:val="22"/>
        </w:rPr>
        <w:t xml:space="preserve">(1), </w:t>
      </w:r>
      <w:r w:rsidR="00C15766" w:rsidRPr="00731EAE">
        <w:rPr>
          <w:rFonts w:eastAsia="Calibri"/>
          <w:color w:val="000000"/>
          <w:sz w:val="22"/>
          <w:szCs w:val="22"/>
        </w:rPr>
        <w:t>1–11</w:t>
      </w:r>
      <w:r w:rsidRPr="00731EAE">
        <w:rPr>
          <w:rFonts w:eastAsia="Calibri"/>
          <w:color w:val="000000"/>
          <w:sz w:val="22"/>
          <w:szCs w:val="22"/>
        </w:rPr>
        <w:t>. https://doi.org/10.4195/nse2018.04.0010</w:t>
      </w:r>
    </w:p>
    <w:p w14:paraId="794FD7B9" w14:textId="77777777" w:rsidR="00AA3146" w:rsidRPr="00731EAE" w:rsidRDefault="00502EF9">
      <w:pPr>
        <w:pBdr>
          <w:top w:val="nil"/>
          <w:left w:val="nil"/>
          <w:bottom w:val="nil"/>
          <w:right w:val="nil"/>
          <w:between w:val="nil"/>
        </w:pBdr>
        <w:ind w:left="720" w:hanging="720"/>
        <w:rPr>
          <w:rFonts w:eastAsia="Calibri"/>
          <w:color w:val="000000"/>
          <w:sz w:val="22"/>
          <w:szCs w:val="22"/>
        </w:rPr>
      </w:pPr>
      <w:r w:rsidRPr="00731EAE">
        <w:rPr>
          <w:rFonts w:eastAsia="Calibri"/>
          <w:color w:val="000000"/>
          <w:sz w:val="22"/>
          <w:szCs w:val="22"/>
        </w:rPr>
        <w:t xml:space="preserve">Griffin, E., Ledbetter, A., Sparks, G., &amp; Langan, E. (2021). </w:t>
      </w:r>
      <w:r w:rsidRPr="00731EAE">
        <w:rPr>
          <w:rFonts w:eastAsia="Calibri"/>
          <w:i/>
          <w:color w:val="000000"/>
          <w:sz w:val="22"/>
          <w:szCs w:val="22"/>
        </w:rPr>
        <w:t>A First Look</w:t>
      </w:r>
      <w:r w:rsidR="00772D24" w:rsidRPr="00731EAE">
        <w:rPr>
          <w:rFonts w:eastAsia="Calibri"/>
          <w:i/>
          <w:color w:val="000000"/>
          <w:sz w:val="22"/>
          <w:szCs w:val="22"/>
        </w:rPr>
        <w:t xml:space="preserve"> at Communication</w:t>
      </w:r>
      <w:r w:rsidRPr="00731EAE">
        <w:rPr>
          <w:rFonts w:eastAsia="Calibri"/>
          <w:i/>
          <w:color w:val="000000"/>
          <w:sz w:val="22"/>
          <w:szCs w:val="22"/>
        </w:rPr>
        <w:t xml:space="preserve"> Theory (10th Edition)</w:t>
      </w:r>
      <w:r w:rsidRPr="00731EAE">
        <w:rPr>
          <w:rFonts w:eastAsia="Calibri"/>
          <w:color w:val="000000"/>
          <w:sz w:val="22"/>
          <w:szCs w:val="22"/>
        </w:rPr>
        <w:t>. https://www.afirstlook.com/edition-10/theory-resources/by-theory/Media-Multiplexity-Theory/overview</w:t>
      </w:r>
    </w:p>
    <w:p w14:paraId="0713C1C2" w14:textId="77777777" w:rsidR="00AA3146" w:rsidRPr="00731EAE" w:rsidRDefault="00502EF9">
      <w:pPr>
        <w:pBdr>
          <w:top w:val="nil"/>
          <w:left w:val="nil"/>
          <w:bottom w:val="nil"/>
          <w:right w:val="nil"/>
          <w:between w:val="nil"/>
        </w:pBdr>
        <w:ind w:left="720" w:hanging="720"/>
        <w:rPr>
          <w:rFonts w:eastAsia="Calibri"/>
          <w:color w:val="000000"/>
          <w:sz w:val="22"/>
          <w:szCs w:val="22"/>
        </w:rPr>
      </w:pPr>
      <w:r w:rsidRPr="00731EAE">
        <w:rPr>
          <w:rFonts w:eastAsia="Calibri"/>
          <w:color w:val="000000"/>
          <w:sz w:val="22"/>
          <w:szCs w:val="22"/>
        </w:rPr>
        <w:t xml:space="preserve">Lowenberg‐DeBoer, J., &amp; Erickson, B. (2019). Setting the Record Straight on Precision Agriculture Adoption. </w:t>
      </w:r>
      <w:r w:rsidRPr="00731EAE">
        <w:rPr>
          <w:rFonts w:eastAsia="Calibri"/>
          <w:i/>
          <w:color w:val="000000"/>
          <w:sz w:val="22"/>
          <w:szCs w:val="22"/>
        </w:rPr>
        <w:t>Agronomy Journal</w:t>
      </w:r>
      <w:r w:rsidRPr="00731EAE">
        <w:rPr>
          <w:rFonts w:eastAsia="Calibri"/>
          <w:color w:val="000000"/>
          <w:sz w:val="22"/>
          <w:szCs w:val="22"/>
        </w:rPr>
        <w:t xml:space="preserve">, </w:t>
      </w:r>
      <w:r w:rsidRPr="00731EAE">
        <w:rPr>
          <w:rFonts w:eastAsia="Calibri"/>
          <w:i/>
          <w:color w:val="000000"/>
          <w:sz w:val="22"/>
          <w:szCs w:val="22"/>
        </w:rPr>
        <w:t>111</w:t>
      </w:r>
      <w:r w:rsidRPr="00731EAE">
        <w:rPr>
          <w:rFonts w:eastAsia="Calibri"/>
          <w:color w:val="000000"/>
          <w:sz w:val="22"/>
          <w:szCs w:val="22"/>
        </w:rPr>
        <w:t>(4), 1552–1569. https://doi.org/10.2134/agronj2018.12.0779</w:t>
      </w:r>
    </w:p>
    <w:p w14:paraId="1BFCD205" w14:textId="77777777" w:rsidR="00AA3146" w:rsidRPr="00731EAE" w:rsidRDefault="00502EF9">
      <w:pPr>
        <w:pBdr>
          <w:top w:val="nil"/>
          <w:left w:val="nil"/>
          <w:bottom w:val="nil"/>
          <w:right w:val="nil"/>
          <w:between w:val="nil"/>
        </w:pBdr>
        <w:ind w:left="720" w:hanging="720"/>
        <w:rPr>
          <w:rFonts w:eastAsia="Calibri"/>
          <w:color w:val="000000"/>
          <w:sz w:val="22"/>
          <w:szCs w:val="22"/>
        </w:rPr>
      </w:pPr>
      <w:r w:rsidRPr="00731EAE">
        <w:rPr>
          <w:rFonts w:eastAsia="Calibri"/>
          <w:color w:val="000000"/>
          <w:sz w:val="22"/>
          <w:szCs w:val="22"/>
        </w:rPr>
        <w:t xml:space="preserve">Osinga, S. A., Paudel, D., Mouzakitis, S. A., &amp; Athanasiadis, I. N. (2022). Big data in agriculture: Between opportunity and solution. </w:t>
      </w:r>
      <w:r w:rsidRPr="00731EAE">
        <w:rPr>
          <w:rFonts w:eastAsia="Calibri"/>
          <w:i/>
          <w:color w:val="000000"/>
          <w:sz w:val="22"/>
          <w:szCs w:val="22"/>
        </w:rPr>
        <w:t>Agricultural Systems</w:t>
      </w:r>
      <w:r w:rsidRPr="00731EAE">
        <w:rPr>
          <w:rFonts w:eastAsia="Calibri"/>
          <w:color w:val="000000"/>
          <w:sz w:val="22"/>
          <w:szCs w:val="22"/>
        </w:rPr>
        <w:t xml:space="preserve">, </w:t>
      </w:r>
      <w:r w:rsidRPr="00731EAE">
        <w:rPr>
          <w:rFonts w:eastAsia="Calibri"/>
          <w:i/>
          <w:color w:val="000000"/>
          <w:sz w:val="22"/>
          <w:szCs w:val="22"/>
        </w:rPr>
        <w:t>195</w:t>
      </w:r>
      <w:r w:rsidRPr="00731EAE">
        <w:rPr>
          <w:rFonts w:eastAsia="Calibri"/>
          <w:color w:val="000000"/>
          <w:sz w:val="22"/>
          <w:szCs w:val="22"/>
        </w:rPr>
        <w:t>, 103298. https://doi.org/10.1016/j.agsy.2021.103298</w:t>
      </w:r>
    </w:p>
    <w:p w14:paraId="4D11D98A" w14:textId="77777777" w:rsidR="00AA3146" w:rsidRPr="00731EAE" w:rsidRDefault="00502EF9">
      <w:pPr>
        <w:pBdr>
          <w:top w:val="nil"/>
          <w:left w:val="nil"/>
          <w:bottom w:val="nil"/>
          <w:right w:val="nil"/>
          <w:between w:val="nil"/>
        </w:pBdr>
        <w:ind w:left="720" w:hanging="720"/>
        <w:rPr>
          <w:rFonts w:eastAsia="Calibri"/>
          <w:color w:val="000000"/>
          <w:sz w:val="22"/>
          <w:szCs w:val="22"/>
        </w:rPr>
      </w:pPr>
      <w:r w:rsidRPr="00731EAE">
        <w:rPr>
          <w:rFonts w:eastAsia="Calibri"/>
          <w:color w:val="000000"/>
          <w:sz w:val="22"/>
          <w:szCs w:val="22"/>
        </w:rPr>
        <w:t xml:space="preserve">Rotz, S., Duncan, E., Small, M., Botschner, J., Dara, R., Mosby, I., Reed, M., &amp; Fraser, E. D. G. (2019). The Politics of Digital Agricultural Technologies: A Preliminary Review. </w:t>
      </w:r>
      <w:r w:rsidRPr="00731EAE">
        <w:rPr>
          <w:rFonts w:eastAsia="Calibri"/>
          <w:i/>
          <w:color w:val="000000"/>
          <w:sz w:val="22"/>
          <w:szCs w:val="22"/>
        </w:rPr>
        <w:t>Sociologia Ruralis</w:t>
      </w:r>
      <w:r w:rsidRPr="00731EAE">
        <w:rPr>
          <w:rFonts w:eastAsia="Calibri"/>
          <w:color w:val="000000"/>
          <w:sz w:val="22"/>
          <w:szCs w:val="22"/>
        </w:rPr>
        <w:t xml:space="preserve">, </w:t>
      </w:r>
      <w:r w:rsidRPr="00731EAE">
        <w:rPr>
          <w:rFonts w:eastAsia="Calibri"/>
          <w:i/>
          <w:color w:val="000000"/>
          <w:sz w:val="22"/>
          <w:szCs w:val="22"/>
        </w:rPr>
        <w:t>59</w:t>
      </w:r>
      <w:r w:rsidRPr="00731EAE">
        <w:rPr>
          <w:rFonts w:eastAsia="Calibri"/>
          <w:color w:val="000000"/>
          <w:sz w:val="22"/>
          <w:szCs w:val="22"/>
        </w:rPr>
        <w:t>(2), 203–229. https://doi.org/10.1111/soru.12233</w:t>
      </w:r>
    </w:p>
    <w:p w14:paraId="40D3672A" w14:textId="77777777" w:rsidR="00AA3146" w:rsidRPr="00731EAE" w:rsidRDefault="00502EF9">
      <w:pPr>
        <w:pBdr>
          <w:top w:val="nil"/>
          <w:left w:val="nil"/>
          <w:bottom w:val="nil"/>
          <w:right w:val="nil"/>
          <w:between w:val="nil"/>
        </w:pBdr>
        <w:ind w:left="720" w:hanging="720"/>
        <w:rPr>
          <w:rFonts w:eastAsia="Calibri"/>
          <w:color w:val="000000"/>
          <w:sz w:val="22"/>
          <w:szCs w:val="22"/>
        </w:rPr>
      </w:pPr>
      <w:r w:rsidRPr="00731EAE">
        <w:rPr>
          <w:rFonts w:eastAsia="Calibri"/>
          <w:color w:val="000000"/>
          <w:sz w:val="22"/>
          <w:szCs w:val="22"/>
        </w:rPr>
        <w:t xml:space="preserve">Sheets, K. D. (2018). The Japanese Impact on Global Drone Policy and Law: Why a Laggard United States and Other Nations Should Look to Japan in the Context of Drone Usage. </w:t>
      </w:r>
      <w:r w:rsidRPr="00731EAE">
        <w:rPr>
          <w:rFonts w:eastAsia="Calibri"/>
          <w:i/>
          <w:color w:val="000000"/>
          <w:sz w:val="22"/>
          <w:szCs w:val="22"/>
        </w:rPr>
        <w:t>Indiana Journal of Global Legal Studies</w:t>
      </w:r>
      <w:r w:rsidRPr="00731EAE">
        <w:rPr>
          <w:rFonts w:eastAsia="Calibri"/>
          <w:color w:val="000000"/>
          <w:sz w:val="22"/>
          <w:szCs w:val="22"/>
        </w:rPr>
        <w:t xml:space="preserve">, </w:t>
      </w:r>
      <w:r w:rsidRPr="00731EAE">
        <w:rPr>
          <w:rFonts w:eastAsia="Calibri"/>
          <w:i/>
          <w:color w:val="000000"/>
          <w:sz w:val="22"/>
          <w:szCs w:val="22"/>
        </w:rPr>
        <w:t>25</w:t>
      </w:r>
      <w:r w:rsidRPr="00731EAE">
        <w:rPr>
          <w:rFonts w:eastAsia="Calibri"/>
          <w:color w:val="000000"/>
          <w:sz w:val="22"/>
          <w:szCs w:val="22"/>
        </w:rPr>
        <w:t>(1), 513. https://doi.org/10.2979/indjglolegstu.25.1.0513</w:t>
      </w:r>
    </w:p>
    <w:p w14:paraId="09297C8B" w14:textId="77777777" w:rsidR="00AA3146" w:rsidRDefault="00502EF9">
      <w:pPr>
        <w:pBdr>
          <w:top w:val="nil"/>
          <w:left w:val="nil"/>
          <w:bottom w:val="nil"/>
          <w:right w:val="nil"/>
          <w:between w:val="nil"/>
        </w:pBdr>
        <w:ind w:left="720" w:hanging="720"/>
        <w:rPr>
          <w:rFonts w:ascii="Calibri" w:eastAsia="Calibri" w:hAnsi="Calibri" w:cs="Calibri"/>
          <w:color w:val="000000"/>
          <w:sz w:val="22"/>
          <w:szCs w:val="22"/>
        </w:rPr>
      </w:pPr>
      <w:r w:rsidRPr="00731EAE">
        <w:rPr>
          <w:rFonts w:eastAsia="Calibri"/>
          <w:color w:val="000000"/>
          <w:sz w:val="22"/>
          <w:szCs w:val="22"/>
        </w:rPr>
        <w:t xml:space="preserve">Shekhar, S., Schnable, P., LeBauer, D., Baylis, K., &amp; VanderWaal, K. (2017). Agriculture Big Data (AgBD) Challenges and Opportunities </w:t>
      </w:r>
      <w:r w:rsidR="009933A1" w:rsidRPr="00731EAE">
        <w:rPr>
          <w:rFonts w:eastAsia="Calibri"/>
          <w:color w:val="000000"/>
          <w:sz w:val="22"/>
          <w:szCs w:val="22"/>
        </w:rPr>
        <w:t>from</w:t>
      </w:r>
      <w:r w:rsidRPr="00731EAE">
        <w:rPr>
          <w:rFonts w:eastAsia="Calibri"/>
          <w:color w:val="000000"/>
          <w:sz w:val="22"/>
          <w:szCs w:val="22"/>
        </w:rPr>
        <w:t xml:space="preserve"> Farm </w:t>
      </w:r>
      <w:r w:rsidR="009933A1" w:rsidRPr="00731EAE">
        <w:rPr>
          <w:rFonts w:eastAsia="Calibri"/>
          <w:color w:val="000000"/>
          <w:sz w:val="22"/>
          <w:szCs w:val="22"/>
        </w:rPr>
        <w:t>to</w:t>
      </w:r>
      <w:r w:rsidRPr="00731EAE">
        <w:rPr>
          <w:rFonts w:eastAsia="Calibri"/>
          <w:color w:val="000000"/>
          <w:sz w:val="22"/>
          <w:szCs w:val="22"/>
        </w:rPr>
        <w:t xml:space="preserve"> Table: A Midwest Big Data Hub Community Whitepaper. </w:t>
      </w:r>
      <w:r w:rsidR="00941B93" w:rsidRPr="00731EAE">
        <w:rPr>
          <w:rFonts w:eastAsia="Calibri"/>
          <w:color w:val="000000"/>
          <w:sz w:val="22"/>
          <w:szCs w:val="22"/>
        </w:rPr>
        <w:t>Whitepaper for the US National Institute of Food and Agriculture</w:t>
      </w:r>
      <w:r w:rsidRPr="00731EAE">
        <w:rPr>
          <w:rFonts w:eastAsia="Calibri"/>
          <w:color w:val="000000"/>
          <w:sz w:val="22"/>
          <w:szCs w:val="22"/>
        </w:rPr>
        <w:t>.</w:t>
      </w:r>
    </w:p>
    <w:p w14:paraId="46564CBD" w14:textId="77777777" w:rsidR="00E257EA" w:rsidRDefault="00E257EA" w:rsidP="00E257EA">
      <w:pPr>
        <w:keepNext/>
        <w:pBdr>
          <w:top w:val="nil"/>
          <w:left w:val="nil"/>
          <w:bottom w:val="nil"/>
          <w:right w:val="nil"/>
          <w:between w:val="nil"/>
        </w:pBdr>
        <w:spacing w:before="240"/>
        <w:rPr>
          <w:rFonts w:ascii="Arial" w:hAnsi="Arial" w:cs="Arial"/>
          <w:b/>
          <w:bCs/>
          <w:sz w:val="36"/>
          <w:szCs w:val="36"/>
        </w:rPr>
      </w:pPr>
      <w:r w:rsidRPr="00083941">
        <w:rPr>
          <w:rFonts w:ascii="Arial" w:hAnsi="Arial" w:cs="Arial"/>
          <w:b/>
          <w:bCs/>
          <w:sz w:val="36"/>
          <w:szCs w:val="36"/>
        </w:rPr>
        <w:t>About the authors</w:t>
      </w:r>
    </w:p>
    <w:p w14:paraId="77CAD0AA" w14:textId="6E16CFF0" w:rsidR="00E257EA" w:rsidRPr="00195EE0" w:rsidRDefault="00E257EA" w:rsidP="00E257EA">
      <w:pPr>
        <w:pBdr>
          <w:top w:val="nil"/>
          <w:left w:val="nil"/>
          <w:bottom w:val="nil"/>
          <w:right w:val="nil"/>
          <w:between w:val="nil"/>
        </w:pBdr>
        <w:spacing w:after="480"/>
        <w:rPr>
          <w:rFonts w:ascii="Arial" w:hAnsi="Arial" w:cs="Arial"/>
          <w:iCs/>
          <w:sz w:val="18"/>
          <w:szCs w:val="18"/>
        </w:rPr>
      </w:pPr>
      <w:r>
        <w:rPr>
          <w:iCs/>
          <w:sz w:val="18"/>
          <w:szCs w:val="18"/>
        </w:rPr>
        <w:t>This resource was developed by faculty and students at</w:t>
      </w:r>
      <w:r w:rsidRPr="00E37D32">
        <w:rPr>
          <w:iCs/>
          <w:sz w:val="18"/>
          <w:szCs w:val="18"/>
        </w:rPr>
        <w:t xml:space="preserve"> Virginia Tech</w:t>
      </w:r>
      <w:r>
        <w:rPr>
          <w:iCs/>
          <w:sz w:val="18"/>
          <w:szCs w:val="18"/>
        </w:rPr>
        <w:t xml:space="preserve">: </w:t>
      </w:r>
      <w:r w:rsidRPr="00195EE0">
        <w:rPr>
          <w:iCs/>
          <w:sz w:val="18"/>
          <w:szCs w:val="18"/>
        </w:rPr>
        <w:t>David Smilnak</w:t>
      </w:r>
      <w:r>
        <w:rPr>
          <w:iCs/>
          <w:sz w:val="18"/>
          <w:szCs w:val="18"/>
        </w:rPr>
        <w:t xml:space="preserve">, </w:t>
      </w:r>
      <w:r w:rsidRPr="00195EE0">
        <w:rPr>
          <w:iCs/>
          <w:sz w:val="18"/>
          <w:szCs w:val="18"/>
        </w:rPr>
        <w:t>Ph.D. Candidate in the Department of Agricultural, Leadership, and Community Education</w:t>
      </w:r>
      <w:r>
        <w:rPr>
          <w:iCs/>
          <w:sz w:val="18"/>
          <w:szCs w:val="18"/>
        </w:rPr>
        <w:t>;</w:t>
      </w:r>
      <w:r w:rsidRPr="00E257EA">
        <w:t xml:space="preserve"> </w:t>
      </w:r>
      <w:r w:rsidRPr="00E257EA">
        <w:rPr>
          <w:iCs/>
          <w:sz w:val="18"/>
          <w:szCs w:val="18"/>
        </w:rPr>
        <w:t>Shannon Bradley, Graduate Student</w:t>
      </w:r>
      <w:r>
        <w:rPr>
          <w:iCs/>
          <w:sz w:val="18"/>
          <w:szCs w:val="18"/>
        </w:rPr>
        <w:t xml:space="preserve"> in the</w:t>
      </w:r>
      <w:r w:rsidRPr="00E257EA">
        <w:rPr>
          <w:iCs/>
          <w:sz w:val="18"/>
          <w:szCs w:val="18"/>
        </w:rPr>
        <w:t xml:space="preserve"> Department of Entomology</w:t>
      </w:r>
      <w:r>
        <w:rPr>
          <w:iCs/>
          <w:sz w:val="18"/>
          <w:szCs w:val="18"/>
        </w:rPr>
        <w:t xml:space="preserve">; </w:t>
      </w:r>
      <w:r w:rsidRPr="00195EE0">
        <w:rPr>
          <w:iCs/>
          <w:sz w:val="18"/>
          <w:szCs w:val="18"/>
        </w:rPr>
        <w:t xml:space="preserve">Dr. Hannah </w:t>
      </w:r>
      <w:r>
        <w:rPr>
          <w:iCs/>
          <w:sz w:val="18"/>
          <w:szCs w:val="18"/>
        </w:rPr>
        <w:t xml:space="preserve">H. </w:t>
      </w:r>
      <w:r w:rsidRPr="00195EE0">
        <w:rPr>
          <w:iCs/>
          <w:sz w:val="18"/>
          <w:szCs w:val="18"/>
        </w:rPr>
        <w:t>Scherer</w:t>
      </w:r>
      <w:r>
        <w:rPr>
          <w:iCs/>
          <w:sz w:val="18"/>
          <w:szCs w:val="18"/>
        </w:rPr>
        <w:t xml:space="preserve">, </w:t>
      </w:r>
      <w:r w:rsidRPr="00195EE0">
        <w:rPr>
          <w:iCs/>
          <w:sz w:val="18"/>
          <w:szCs w:val="18"/>
        </w:rPr>
        <w:t>Associate Professor and Extension Specialist in the Department of Agricultural, Leadership, and Community Education.</w:t>
      </w:r>
    </w:p>
    <w:p w14:paraId="3AB3FA13" w14:textId="77777777" w:rsidR="00E257EA" w:rsidRDefault="00E257EA" w:rsidP="00E257EA">
      <w:pPr>
        <w:pStyle w:val="Heading2"/>
      </w:pPr>
      <w:r>
        <w:lastRenderedPageBreak/>
        <w:t>Acknowledgments</w:t>
      </w:r>
    </w:p>
    <w:p w14:paraId="258D8F88" w14:textId="77777777" w:rsidR="00E257EA" w:rsidRDefault="00E257EA" w:rsidP="00E257EA">
      <w:pPr>
        <w:rPr>
          <w:sz w:val="18"/>
          <w:szCs w:val="18"/>
        </w:rPr>
      </w:pPr>
      <w:r>
        <w:rPr>
          <w:sz w:val="18"/>
          <w:szCs w:val="18"/>
        </w:rPr>
        <w:t>This resource was developed, in part, with the help and expertise of the Center for Advanced Innovation in Agriculture (CAIA) through a CAIA-Graduate Student Association writing workshop held in 2022. Jordan Wilson contributed to an earlier version of this work.</w:t>
      </w:r>
    </w:p>
    <w:p w14:paraId="42C82C13" w14:textId="77777777" w:rsidR="00E257EA" w:rsidRDefault="00E257EA" w:rsidP="00E257EA">
      <w:pPr>
        <w:rPr>
          <w:sz w:val="18"/>
          <w:szCs w:val="18"/>
        </w:rPr>
      </w:pPr>
    </w:p>
    <w:p w14:paraId="144F9C50" w14:textId="77777777" w:rsidR="00E257EA" w:rsidRPr="00B41A40" w:rsidRDefault="00E257EA" w:rsidP="00E257EA">
      <w:pPr>
        <w:rPr>
          <w:sz w:val="18"/>
          <w:szCs w:val="18"/>
        </w:rPr>
      </w:pPr>
      <w:r>
        <w:rPr>
          <w:color w:val="000000"/>
          <w:sz w:val="18"/>
          <w:szCs w:val="18"/>
        </w:rPr>
        <w:t xml:space="preserve">This work was supported, in part, through the CCI Southwest Virginia Node Cyberbiosecurity Seed Grant program and the USDA National Institute of Food and Agriculture, Women and Minorities in Science, Technology, Engineering, and Mathematics Fields (WAMS) Grants Program, award #2020-38503-31950. </w:t>
      </w:r>
      <w:r w:rsidRPr="00B41A40">
        <w:rPr>
          <w:color w:val="000000"/>
          <w:sz w:val="18"/>
          <w:szCs w:val="18"/>
        </w:rPr>
        <w:t>Technical and publishing support was provided by the Open Education Initiative of the University Libraries at Virginia Tech.</w:t>
      </w:r>
    </w:p>
    <w:p w14:paraId="4D2C6082" w14:textId="77777777" w:rsidR="00E257EA" w:rsidRDefault="00E257EA" w:rsidP="00E257EA">
      <w:pPr>
        <w:rPr>
          <w:sz w:val="18"/>
          <w:szCs w:val="18"/>
        </w:rPr>
      </w:pPr>
    </w:p>
    <w:p w14:paraId="3A7F44F3" w14:textId="77777777" w:rsidR="00E257EA" w:rsidRDefault="00E257EA" w:rsidP="00E257EA">
      <w:pPr>
        <w:rPr>
          <w:sz w:val="18"/>
          <w:szCs w:val="18"/>
        </w:rPr>
      </w:pPr>
    </w:p>
    <w:p w14:paraId="3F85036E" w14:textId="77777777" w:rsidR="00E257EA" w:rsidRDefault="00E257EA" w:rsidP="00E257EA">
      <w:pPr>
        <w:rPr>
          <w:b/>
          <w:bCs/>
          <w:sz w:val="36"/>
          <w:szCs w:val="36"/>
        </w:rPr>
      </w:pPr>
      <w:r w:rsidRPr="00195EE0">
        <w:rPr>
          <w:rFonts w:ascii="Arial" w:hAnsi="Arial" w:cs="Arial"/>
          <w:b/>
          <w:bCs/>
          <w:sz w:val="36"/>
          <w:szCs w:val="36"/>
        </w:rPr>
        <w:t>About this project</w:t>
      </w:r>
    </w:p>
    <w:p w14:paraId="6CE1750A" w14:textId="77777777" w:rsidR="00E257EA" w:rsidRDefault="00E257EA" w:rsidP="00E257EA">
      <w:pPr>
        <w:rPr>
          <w:sz w:val="18"/>
          <w:szCs w:val="18"/>
        </w:rPr>
      </w:pPr>
      <w:r w:rsidRPr="00B41A40">
        <w:rPr>
          <w:sz w:val="18"/>
          <w:szCs w:val="18"/>
        </w:rPr>
        <w:t>Cyberbiosecurity is an emerging field that focuses on creating security measures for digital aspects of our food and agriculture systems, creating a structure and opportunity for a safe food system that can meet the large needs of a growing population and world.</w:t>
      </w:r>
      <w:r>
        <w:rPr>
          <w:sz w:val="18"/>
          <w:szCs w:val="18"/>
        </w:rPr>
        <w:t xml:space="preserve"> </w:t>
      </w:r>
      <w:r w:rsidRPr="00B41A40">
        <w:rPr>
          <w:sz w:val="18"/>
          <w:szCs w:val="18"/>
        </w:rPr>
        <w:t xml:space="preserve">This educational resource </w:t>
      </w:r>
      <w:r>
        <w:rPr>
          <w:sz w:val="18"/>
          <w:szCs w:val="18"/>
        </w:rPr>
        <w:t>was developed as</w:t>
      </w:r>
      <w:r w:rsidRPr="00B41A40">
        <w:rPr>
          <w:sz w:val="18"/>
          <w:szCs w:val="18"/>
        </w:rPr>
        <w:t xml:space="preserve"> part of a project to support formal and non-formal agricultural educators in integrating cyberbiosecurity topics and research-based strategies for engaging middle-school-aged girls in STEM into their educational programs. </w:t>
      </w:r>
    </w:p>
    <w:p w14:paraId="2053F7EC" w14:textId="77777777" w:rsidR="00E257EA" w:rsidRDefault="00E257EA" w:rsidP="00E257EA">
      <w:pPr>
        <w:rPr>
          <w:sz w:val="18"/>
          <w:szCs w:val="18"/>
        </w:rPr>
      </w:pPr>
    </w:p>
    <w:p w14:paraId="505AD2CE" w14:textId="77777777" w:rsidR="00E257EA" w:rsidRDefault="00E257EA" w:rsidP="00E257EA">
      <w:pPr>
        <w:rPr>
          <w:sz w:val="18"/>
          <w:szCs w:val="18"/>
        </w:rPr>
      </w:pPr>
      <w:r w:rsidRPr="00E37D32">
        <w:rPr>
          <w:sz w:val="18"/>
          <w:szCs w:val="18"/>
        </w:rPr>
        <w:t>The entire resource collection can be accessed here:</w:t>
      </w:r>
      <w:r>
        <w:rPr>
          <w:sz w:val="18"/>
          <w:szCs w:val="18"/>
        </w:rPr>
        <w:t xml:space="preserve"> </w:t>
      </w:r>
      <w:hyperlink r:id="rId32" w:history="1">
        <w:r w:rsidRPr="00C40D46">
          <w:rPr>
            <w:rStyle w:val="Hyperlink"/>
            <w:sz w:val="18"/>
            <w:szCs w:val="18"/>
          </w:rPr>
          <w:t>https://doi.org/10.21061/cyberbiosecurity</w:t>
        </w:r>
      </w:hyperlink>
      <w:r>
        <w:rPr>
          <w:sz w:val="18"/>
          <w:szCs w:val="18"/>
        </w:rPr>
        <w:t xml:space="preserve"> </w:t>
      </w:r>
    </w:p>
    <w:p w14:paraId="4755F9E9" w14:textId="77777777" w:rsidR="00E257EA" w:rsidRDefault="00E257EA" w:rsidP="00E257EA">
      <w:pPr>
        <w:rPr>
          <w:sz w:val="18"/>
          <w:szCs w:val="18"/>
        </w:rPr>
      </w:pPr>
    </w:p>
    <w:p w14:paraId="486127A7" w14:textId="77777777" w:rsidR="00E257EA" w:rsidRPr="00D013C4" w:rsidRDefault="00E257EA" w:rsidP="00E257EA">
      <w:pPr>
        <w:rPr>
          <w:i/>
          <w:iCs/>
          <w:sz w:val="18"/>
          <w:szCs w:val="18"/>
        </w:rPr>
      </w:pPr>
      <w:r w:rsidRPr="00B41A40">
        <w:rPr>
          <w:sz w:val="18"/>
          <w:szCs w:val="18"/>
        </w:rPr>
        <w:t>The project is an outreach effort of the Virginia Tech Center for Advanced Innovation in Agriculture.</w:t>
      </w:r>
    </w:p>
    <w:p w14:paraId="523AFA7F" w14:textId="77777777" w:rsidR="00E257EA" w:rsidRDefault="00E257EA" w:rsidP="00E257EA">
      <w:pPr>
        <w:rPr>
          <w:sz w:val="18"/>
          <w:szCs w:val="18"/>
        </w:rPr>
      </w:pPr>
    </w:p>
    <w:p w14:paraId="3BA8C942" w14:textId="77777777" w:rsidR="00E257EA" w:rsidRPr="00195EE0" w:rsidRDefault="00E257EA" w:rsidP="00E257EA">
      <w:pPr>
        <w:rPr>
          <w:sz w:val="18"/>
          <w:szCs w:val="18"/>
        </w:rPr>
      </w:pPr>
    </w:p>
    <w:p w14:paraId="553DAAC3" w14:textId="77777777" w:rsidR="00E257EA" w:rsidRDefault="00E257EA" w:rsidP="00E257EA">
      <w:r>
        <w:rPr>
          <w:i/>
          <w:iCs/>
          <w:noProof/>
          <w:sz w:val="18"/>
          <w:szCs w:val="18"/>
        </w:rPr>
        <w:drawing>
          <wp:inline distT="0" distB="0" distL="0" distR="0" wp14:anchorId="39CCE71D" wp14:editId="04CB0913">
            <wp:extent cx="2311400" cy="355600"/>
            <wp:effectExtent l="0" t="0" r="0" b="0"/>
            <wp:docPr id="1499750395" name="Picture 1" descr="A close up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50395" name="Picture 1" descr="A close up of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2311400" cy="355600"/>
                    </a:xfrm>
                    <a:prstGeom prst="rect">
                      <a:avLst/>
                    </a:prstGeom>
                  </pic:spPr>
                </pic:pic>
              </a:graphicData>
            </a:graphic>
          </wp:inline>
        </w:drawing>
      </w:r>
    </w:p>
    <w:p w14:paraId="58648191" w14:textId="77777777" w:rsidR="00AA3146" w:rsidRDefault="00AA3146">
      <w:pPr>
        <w:pBdr>
          <w:top w:val="nil"/>
          <w:left w:val="nil"/>
          <w:bottom w:val="nil"/>
          <w:right w:val="nil"/>
          <w:between w:val="nil"/>
        </w:pBdr>
        <w:spacing w:after="240"/>
        <w:rPr>
          <w:color w:val="000000"/>
          <w:sz w:val="22"/>
          <w:szCs w:val="22"/>
        </w:rPr>
      </w:pPr>
    </w:p>
    <w:p w14:paraId="3560C296" w14:textId="77777777" w:rsidR="00263243" w:rsidRPr="00F82E1D" w:rsidRDefault="00263243" w:rsidP="00263243">
      <w:pPr>
        <w:rPr>
          <w:rFonts w:ascii="Arial" w:hAnsi="Arial" w:cs="Arial"/>
          <w:b/>
          <w:bCs/>
        </w:rPr>
      </w:pPr>
      <w:r w:rsidRPr="00F82E1D">
        <w:rPr>
          <w:rFonts w:ascii="Arial" w:hAnsi="Arial" w:cs="Arial"/>
          <w:b/>
          <w:bCs/>
        </w:rPr>
        <w:t>Did you know that you can customize and share your version of this Open Educational Resource?</w:t>
      </w:r>
    </w:p>
    <w:p w14:paraId="5C15B8C0" w14:textId="77777777" w:rsidR="00263243" w:rsidRPr="003807EF" w:rsidRDefault="00263243" w:rsidP="00263243">
      <w:pPr>
        <w:rPr>
          <w:sz w:val="18"/>
          <w:szCs w:val="18"/>
        </w:rPr>
      </w:pPr>
    </w:p>
    <w:p w14:paraId="485D89CC" w14:textId="77777777" w:rsidR="00263243" w:rsidRPr="003807EF" w:rsidRDefault="00263243" w:rsidP="00263243">
      <w:pPr>
        <w:rPr>
          <w:sz w:val="18"/>
          <w:szCs w:val="18"/>
        </w:rPr>
      </w:pPr>
      <w:r w:rsidRPr="00F82E1D">
        <w:rPr>
          <w:sz w:val="18"/>
          <w:szCs w:val="18"/>
        </w:rPr>
        <w:t>This resource is licensed with a Creative Commons Attribution-NonCommercial-ShareAlike 4.0 license. This means you are free to copy, share, adapt, remix, transform, and build on the material for any primarily noncommercial purpose as long as you follow the terms of the license:</w:t>
      </w:r>
      <w:hyperlink r:id="rId34" w:history="1">
        <w:r w:rsidRPr="00F82E1D">
          <w:rPr>
            <w:rStyle w:val="Hyperlink"/>
            <w:sz w:val="18"/>
            <w:szCs w:val="18"/>
          </w:rPr>
          <w:t xml:space="preserve"> https://creativecommons.org/licenses/by-nc-sa/4.0</w:t>
        </w:r>
      </w:hyperlink>
      <w:r w:rsidRPr="00F82E1D">
        <w:rPr>
          <w:sz w:val="18"/>
          <w:szCs w:val="18"/>
        </w:rPr>
        <w:t xml:space="preserve">. Best practice </w:t>
      </w:r>
      <w:r>
        <w:rPr>
          <w:sz w:val="18"/>
          <w:szCs w:val="18"/>
        </w:rPr>
        <w:t xml:space="preserve">for attribution </w:t>
      </w:r>
      <w:r w:rsidRPr="00F82E1D">
        <w:rPr>
          <w:sz w:val="18"/>
          <w:szCs w:val="18"/>
        </w:rPr>
        <w:t>is to list the title, author, source, and license</w:t>
      </w:r>
      <w:r>
        <w:rPr>
          <w:sz w:val="18"/>
          <w:szCs w:val="18"/>
        </w:rPr>
        <w:t>.</w:t>
      </w:r>
    </w:p>
    <w:p w14:paraId="22CB8273" w14:textId="77777777" w:rsidR="00AA3146" w:rsidRDefault="00AA3146">
      <w:pPr>
        <w:pBdr>
          <w:top w:val="nil"/>
          <w:left w:val="nil"/>
          <w:bottom w:val="nil"/>
          <w:right w:val="nil"/>
          <w:between w:val="nil"/>
        </w:pBdr>
        <w:spacing w:before="240"/>
        <w:jc w:val="both"/>
        <w:rPr>
          <w:color w:val="000000"/>
          <w:sz w:val="16"/>
          <w:szCs w:val="16"/>
        </w:rPr>
      </w:pPr>
    </w:p>
    <w:p w14:paraId="74584965" w14:textId="77777777" w:rsidR="00AA3146" w:rsidRDefault="00AA3146">
      <w:pPr>
        <w:pBdr>
          <w:top w:val="nil"/>
          <w:left w:val="nil"/>
          <w:bottom w:val="nil"/>
          <w:right w:val="nil"/>
          <w:between w:val="nil"/>
        </w:pBdr>
        <w:spacing w:before="240"/>
        <w:jc w:val="both"/>
        <w:rPr>
          <w:color w:val="000000"/>
          <w:sz w:val="16"/>
          <w:szCs w:val="16"/>
        </w:rPr>
      </w:pPr>
    </w:p>
    <w:p w14:paraId="7A049CCD" w14:textId="77777777" w:rsidR="00AA3146" w:rsidRDefault="00AA3146">
      <w:pPr>
        <w:pBdr>
          <w:top w:val="nil"/>
          <w:left w:val="nil"/>
          <w:bottom w:val="nil"/>
          <w:right w:val="nil"/>
          <w:between w:val="nil"/>
        </w:pBdr>
        <w:spacing w:before="240"/>
        <w:jc w:val="both"/>
        <w:rPr>
          <w:color w:val="000000"/>
          <w:sz w:val="16"/>
          <w:szCs w:val="16"/>
        </w:rPr>
      </w:pPr>
    </w:p>
    <w:p w14:paraId="1E006115" w14:textId="77777777" w:rsidR="00AA3146" w:rsidRDefault="00AA3146">
      <w:pPr>
        <w:pBdr>
          <w:top w:val="nil"/>
          <w:left w:val="nil"/>
          <w:bottom w:val="nil"/>
          <w:right w:val="nil"/>
          <w:between w:val="nil"/>
        </w:pBdr>
        <w:spacing w:before="240"/>
        <w:jc w:val="both"/>
        <w:rPr>
          <w:color w:val="000000"/>
          <w:sz w:val="16"/>
          <w:szCs w:val="16"/>
        </w:rPr>
      </w:pPr>
    </w:p>
    <w:p w14:paraId="0F9918CE" w14:textId="77777777" w:rsidR="00AA3146" w:rsidRDefault="00AA3146">
      <w:pPr>
        <w:pBdr>
          <w:top w:val="nil"/>
          <w:left w:val="nil"/>
          <w:bottom w:val="nil"/>
          <w:right w:val="nil"/>
          <w:between w:val="nil"/>
        </w:pBdr>
        <w:spacing w:before="240"/>
        <w:jc w:val="both"/>
        <w:rPr>
          <w:color w:val="000000"/>
          <w:sz w:val="16"/>
          <w:szCs w:val="16"/>
        </w:rPr>
      </w:pPr>
    </w:p>
    <w:sectPr w:rsidR="00AA3146">
      <w:headerReference w:type="default" r:id="rId35"/>
      <w:footerReference w:type="default" r:id="rId36"/>
      <w:type w:val="continuous"/>
      <w:pgSz w:w="12240" w:h="15840"/>
      <w:pgMar w:top="1152" w:right="1080" w:bottom="1152" w:left="1080" w:header="720" w:footer="720" w:gutter="0"/>
      <w:cols w:num="2" w:space="720" w:equalWidth="0">
        <w:col w:w="4680" w:space="720"/>
        <w:col w:w="4680" w:space="0"/>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7C4835" w14:textId="77777777" w:rsidR="001C1035" w:rsidRDefault="001C1035">
      <w:r>
        <w:separator/>
      </w:r>
    </w:p>
  </w:endnote>
  <w:endnote w:type="continuationSeparator" w:id="0">
    <w:p w14:paraId="45246EF3" w14:textId="77777777" w:rsidR="001C1035" w:rsidRDefault="001C10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Roman">
    <w:altName w:val="Times New Roman"/>
    <w:panose1 w:val="00000500000000020000"/>
    <w:charset w:val="00"/>
    <w:family w:val="roman"/>
    <w:notTrueType/>
    <w:pitch w:val="default"/>
  </w:font>
  <w:font w:name="Myriad Pro Light">
    <w:altName w:val="Segoe UI Light"/>
    <w:panose1 w:val="020B0604020202020204"/>
    <w:charset w:val="00"/>
    <w:family w:val="swiss"/>
    <w:notTrueType/>
    <w:pitch w:val="variable"/>
    <w:sig w:usb0="20000287" w:usb1="00000001" w:usb2="00000000" w:usb3="00000000" w:csb0="0000019F" w:csb1="00000000"/>
  </w:font>
  <w:font w:name="Georgia">
    <w:panose1 w:val="02040502050405020303"/>
    <w:charset w:val="00"/>
    <w:family w:val="roman"/>
    <w:pitch w:val="variable"/>
    <w:sig w:usb0="00000287" w:usb1="00000000" w:usb2="00000000" w:usb3="00000000" w:csb0="0000009F" w:csb1="00000000"/>
  </w:font>
  <w:font w:name="Quattrocento Sans">
    <w:panose1 w:val="020B0502050000020003"/>
    <w:charset w:val="00"/>
    <w:family w:val="swiss"/>
    <w:pitch w:val="variable"/>
    <w:sig w:usb0="800000BF" w:usb1="4000005B"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7DECE" w14:textId="77777777" w:rsidR="001741C2" w:rsidRDefault="001741C2">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64DB48F2" w14:textId="77777777" w:rsidR="001741C2" w:rsidRDefault="001741C2">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46A76B" w14:textId="77777777" w:rsidR="001741C2" w:rsidRDefault="001741C2">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1891622E" w14:textId="77777777" w:rsidR="001741C2" w:rsidRDefault="001741C2">
    <w:pPr>
      <w:ind w:right="360"/>
    </w:pPr>
    <w:r>
      <w:t>Virginia Cooperative Extension</w:t>
    </w:r>
    <w:r>
      <w:tab/>
    </w:r>
    <w:r>
      <w:tab/>
    </w:r>
    <w:r>
      <w:tab/>
    </w:r>
    <w:r>
      <w:tab/>
    </w:r>
    <w:r>
      <w:tab/>
    </w:r>
    <w:r>
      <w:tab/>
    </w: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C0758" w14:textId="77777777" w:rsidR="00AA3146" w:rsidRDefault="00502EF9">
    <w:pPr>
      <w:pBdr>
        <w:top w:val="nil"/>
        <w:left w:val="nil"/>
        <w:bottom w:val="nil"/>
        <w:right w:val="nil"/>
        <w:between w:val="nil"/>
      </w:pBdr>
      <w:tabs>
        <w:tab w:val="center" w:pos="4320"/>
        <w:tab w:val="right" w:pos="8640"/>
      </w:tabs>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692548">
      <w:rPr>
        <w:rFonts w:ascii="Arial" w:eastAsia="Arial" w:hAnsi="Arial" w:cs="Arial"/>
        <w:noProof/>
        <w:color w:val="000000"/>
      </w:rPr>
      <w:t>4</w:t>
    </w:r>
    <w:r>
      <w:rPr>
        <w:rFonts w:ascii="Arial" w:eastAsia="Arial" w:hAnsi="Arial" w:cs="Arial"/>
        <w:color w:val="000000"/>
      </w:rPr>
      <w:fldChar w:fldCharType="end"/>
    </w:r>
  </w:p>
  <w:p w14:paraId="6572A49E" w14:textId="77777777" w:rsidR="00AA3146" w:rsidRDefault="00AA3146">
    <w:pPr>
      <w:tabs>
        <w:tab w:val="left" w:pos="2347"/>
      </w:tabs>
      <w:ind w:right="360"/>
      <w:rPr>
        <w:rFonts w:ascii="Arial" w:eastAsia="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9CDEB1" w14:textId="77777777" w:rsidR="001C1035" w:rsidRDefault="001C1035">
      <w:r>
        <w:separator/>
      </w:r>
    </w:p>
  </w:footnote>
  <w:footnote w:type="continuationSeparator" w:id="0">
    <w:p w14:paraId="7B3A0785" w14:textId="77777777" w:rsidR="001C1035" w:rsidRDefault="001C10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58825" w14:textId="77777777" w:rsidR="001741C2" w:rsidRDefault="001741C2">
    <w:pPr>
      <w:tabs>
        <w:tab w:val="left" w:pos="720"/>
        <w:tab w:val="left" w:pos="6133"/>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7DC4D" w14:textId="77777777" w:rsidR="001741C2" w:rsidRDefault="001741C2">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3C1C1" w14:textId="77777777" w:rsidR="00AA3146" w:rsidRDefault="00502EF9">
    <w:pPr>
      <w:tabs>
        <w:tab w:val="left" w:pos="720"/>
        <w:tab w:val="left" w:pos="6133"/>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DF24F9"/>
    <w:multiLevelType w:val="multilevel"/>
    <w:tmpl w:val="60A2B6D2"/>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63684409">
    <w:abstractNumId w:val="0"/>
  </w:num>
  <w:num w:numId="2" w16cid:durableId="6260859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3"/>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MyMjAzMDMxNzU0NLRQ0lEKTi0uzszPAykwrAUAk9IVuSwAAAA="/>
  </w:docVars>
  <w:rsids>
    <w:rsidRoot w:val="00AA3146"/>
    <w:rsid w:val="000C12CC"/>
    <w:rsid w:val="000D122D"/>
    <w:rsid w:val="001741C2"/>
    <w:rsid w:val="001C1035"/>
    <w:rsid w:val="00234D7B"/>
    <w:rsid w:val="00263243"/>
    <w:rsid w:val="00313CD6"/>
    <w:rsid w:val="003C2A4F"/>
    <w:rsid w:val="004D5131"/>
    <w:rsid w:val="00502EF9"/>
    <w:rsid w:val="00601885"/>
    <w:rsid w:val="00692548"/>
    <w:rsid w:val="00731EAE"/>
    <w:rsid w:val="00772D24"/>
    <w:rsid w:val="00832B36"/>
    <w:rsid w:val="00941B93"/>
    <w:rsid w:val="009933A1"/>
    <w:rsid w:val="00AA3146"/>
    <w:rsid w:val="00B90437"/>
    <w:rsid w:val="00C15766"/>
    <w:rsid w:val="00C406BC"/>
    <w:rsid w:val="00E257EA"/>
    <w:rsid w:val="00EC19BA"/>
    <w:rsid w:val="00FA779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0978D"/>
  <w15:docId w15:val="{4BE75700-39C6-41D1-8B17-052134B9D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6DB9"/>
  </w:style>
  <w:style w:type="paragraph" w:styleId="Heading1">
    <w:name w:val="heading 1"/>
    <w:aliases w:val="VCE Heading 1 (title)"/>
    <w:basedOn w:val="Normal"/>
    <w:next w:val="Normal"/>
    <w:link w:val="Heading1Char"/>
    <w:uiPriority w:val="9"/>
    <w:qFormat/>
    <w:rsid w:val="005047C7"/>
    <w:pPr>
      <w:keepNext/>
      <w:keepLines/>
      <w:spacing w:before="240" w:after="240"/>
      <w:jc w:val="center"/>
      <w:outlineLvl w:val="0"/>
    </w:pPr>
    <w:rPr>
      <w:rFonts w:ascii="Arial" w:eastAsia="MS Gothic" w:hAnsi="Arial"/>
      <w:b/>
      <w:color w:val="000000"/>
      <w:sz w:val="48"/>
      <w:szCs w:val="32"/>
    </w:rPr>
  </w:style>
  <w:style w:type="paragraph" w:styleId="Heading2">
    <w:name w:val="heading 2"/>
    <w:aliases w:val="VCE Heading 2"/>
    <w:basedOn w:val="Normal"/>
    <w:next w:val="Normal"/>
    <w:link w:val="Heading2Char"/>
    <w:uiPriority w:val="9"/>
    <w:unhideWhenUsed/>
    <w:qFormat/>
    <w:rsid w:val="005047C7"/>
    <w:pPr>
      <w:keepNext/>
      <w:keepLines/>
      <w:spacing w:before="240"/>
      <w:outlineLvl w:val="1"/>
    </w:pPr>
    <w:rPr>
      <w:rFonts w:ascii="Arial" w:eastAsia="MS Gothic" w:hAnsi="Arial"/>
      <w:b/>
      <w:color w:val="000000"/>
      <w:sz w:val="36"/>
      <w:szCs w:val="26"/>
    </w:rPr>
  </w:style>
  <w:style w:type="paragraph" w:styleId="Heading3">
    <w:name w:val="heading 3"/>
    <w:aliases w:val="VCE Heading 3"/>
    <w:basedOn w:val="Normal"/>
    <w:next w:val="Normal"/>
    <w:link w:val="Heading3Char"/>
    <w:uiPriority w:val="9"/>
    <w:unhideWhenUsed/>
    <w:qFormat/>
    <w:rsid w:val="005047C7"/>
    <w:pPr>
      <w:keepNext/>
      <w:keepLines/>
      <w:spacing w:before="240"/>
      <w:outlineLvl w:val="2"/>
    </w:pPr>
    <w:rPr>
      <w:rFonts w:ascii="Arial" w:eastAsia="MS Gothic" w:hAnsi="Arial"/>
      <w:b/>
      <w:color w:val="000000"/>
      <w:sz w:val="32"/>
    </w:rPr>
  </w:style>
  <w:style w:type="paragraph" w:styleId="Heading4">
    <w:name w:val="heading 4"/>
    <w:aliases w:val="VCE Heading 4"/>
    <w:basedOn w:val="Normal"/>
    <w:next w:val="Normal"/>
    <w:link w:val="Heading4Char"/>
    <w:uiPriority w:val="9"/>
    <w:unhideWhenUsed/>
    <w:qFormat/>
    <w:rsid w:val="005047C7"/>
    <w:pPr>
      <w:keepNext/>
      <w:keepLines/>
      <w:spacing w:before="240"/>
      <w:outlineLvl w:val="3"/>
    </w:pPr>
    <w:rPr>
      <w:rFonts w:ascii="Arial" w:eastAsia="MS Gothic" w:hAnsi="Arial"/>
      <w:b/>
      <w:iCs/>
      <w:color w:val="000000"/>
    </w:rPr>
  </w:style>
  <w:style w:type="paragraph" w:styleId="Heading5">
    <w:name w:val="heading 5"/>
    <w:basedOn w:val="Normal"/>
    <w:next w:val="Normal"/>
    <w:link w:val="Heading5Char"/>
    <w:uiPriority w:val="9"/>
    <w:unhideWhenUsed/>
    <w:qFormat/>
    <w:rsid w:val="00246DB9"/>
    <w:pPr>
      <w:keepNext/>
      <w:keepLines/>
      <w:spacing w:before="40"/>
      <w:outlineLvl w:val="4"/>
    </w:pPr>
    <w:rPr>
      <w:rFonts w:ascii="Calibri" w:eastAsia="MS Gothic" w:hAnsi="Calibri"/>
      <w:color w:val="000000"/>
    </w:rPr>
  </w:style>
  <w:style w:type="paragraph" w:styleId="Heading6">
    <w:name w:val="heading 6"/>
    <w:basedOn w:val="Normal"/>
    <w:next w:val="Normal"/>
    <w:link w:val="Heading6Char"/>
    <w:uiPriority w:val="9"/>
    <w:unhideWhenUsed/>
    <w:qFormat/>
    <w:rsid w:val="00246DB9"/>
    <w:pPr>
      <w:keepNext/>
      <w:keepLines/>
      <w:spacing w:before="40"/>
      <w:outlineLvl w:val="5"/>
    </w:pPr>
    <w:rPr>
      <w:rFonts w:ascii="Calibri" w:eastAsia="MS Gothic" w:hAnsi="Calibri"/>
      <w:color w:val="000000"/>
    </w:rPr>
  </w:style>
  <w:style w:type="paragraph" w:styleId="Heading7">
    <w:name w:val="heading 7"/>
    <w:basedOn w:val="Normal"/>
    <w:next w:val="Normal"/>
    <w:link w:val="Heading7Char"/>
    <w:uiPriority w:val="9"/>
    <w:unhideWhenUsed/>
    <w:qFormat/>
    <w:rsid w:val="00246DB9"/>
    <w:pPr>
      <w:keepNext/>
      <w:keepLines/>
      <w:spacing w:before="40"/>
      <w:outlineLvl w:val="6"/>
    </w:pPr>
    <w:rPr>
      <w:rFonts w:ascii="Calibri" w:eastAsia="MS Gothic" w:hAnsi="Calibri"/>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customStyle="1" w:styleId="VirginiaTechBody">
    <w:name w:val="Virginia Tech Body"/>
    <w:basedOn w:val="Normal"/>
    <w:pPr>
      <w:spacing w:line="360" w:lineRule="auto"/>
    </w:pPr>
    <w:rPr>
      <w:sz w:val="19"/>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NoParagraphStyle">
    <w:name w:val="[No Paragraph Style]"/>
    <w:rsid w:val="00E83878"/>
    <w:pPr>
      <w:widowControl w:val="0"/>
      <w:autoSpaceDE w:val="0"/>
      <w:autoSpaceDN w:val="0"/>
      <w:adjustRightInd w:val="0"/>
      <w:spacing w:line="288" w:lineRule="auto"/>
      <w:textAlignment w:val="center"/>
    </w:pPr>
    <w:rPr>
      <w:rFonts w:ascii="Times-Roman" w:hAnsi="Times-Roman" w:cs="Times-Roman"/>
      <w:color w:val="000000"/>
    </w:rPr>
  </w:style>
  <w:style w:type="character" w:styleId="PageNumber">
    <w:name w:val="page number"/>
    <w:basedOn w:val="DefaultParagraphFont"/>
    <w:uiPriority w:val="99"/>
    <w:semiHidden/>
    <w:unhideWhenUsed/>
    <w:rsid w:val="000F781D"/>
  </w:style>
  <w:style w:type="paragraph" w:styleId="BalloonText">
    <w:name w:val="Balloon Text"/>
    <w:basedOn w:val="Normal"/>
    <w:link w:val="BalloonTextChar"/>
    <w:uiPriority w:val="99"/>
    <w:semiHidden/>
    <w:unhideWhenUsed/>
    <w:rsid w:val="000D6DAB"/>
    <w:rPr>
      <w:sz w:val="18"/>
      <w:szCs w:val="18"/>
    </w:rPr>
  </w:style>
  <w:style w:type="character" w:customStyle="1" w:styleId="BalloonTextChar">
    <w:name w:val="Balloon Text Char"/>
    <w:link w:val="BalloonText"/>
    <w:uiPriority w:val="99"/>
    <w:semiHidden/>
    <w:rsid w:val="000D6DAB"/>
    <w:rPr>
      <w:sz w:val="18"/>
      <w:szCs w:val="18"/>
    </w:rPr>
  </w:style>
  <w:style w:type="paragraph" w:customStyle="1" w:styleId="VCEAuthorList">
    <w:name w:val="VCE Author List"/>
    <w:next w:val="Normal"/>
    <w:autoRedefine/>
    <w:qFormat/>
    <w:rsid w:val="00C6186E"/>
    <w:pPr>
      <w:spacing w:before="240" w:after="480"/>
      <w:jc w:val="center"/>
    </w:pPr>
    <w:rPr>
      <w:rFonts w:cs="Arial"/>
      <w:i/>
    </w:rPr>
  </w:style>
  <w:style w:type="character" w:customStyle="1" w:styleId="Heading2Char">
    <w:name w:val="Heading 2 Char"/>
    <w:aliases w:val="VCE Heading 2 Char"/>
    <w:link w:val="Heading2"/>
    <w:uiPriority w:val="9"/>
    <w:rsid w:val="005047C7"/>
    <w:rPr>
      <w:rFonts w:ascii="Arial" w:eastAsia="MS Gothic" w:hAnsi="Arial" w:cs="Times New Roman"/>
      <w:b/>
      <w:color w:val="000000"/>
      <w:sz w:val="36"/>
      <w:szCs w:val="26"/>
    </w:rPr>
  </w:style>
  <w:style w:type="character" w:customStyle="1" w:styleId="Heading5Char">
    <w:name w:val="Heading 5 Char"/>
    <w:link w:val="Heading5"/>
    <w:uiPriority w:val="9"/>
    <w:rsid w:val="00246DB9"/>
    <w:rPr>
      <w:rFonts w:ascii="Calibri" w:eastAsia="MS Gothic" w:hAnsi="Calibri" w:cs="Times New Roman"/>
      <w:color w:val="000000"/>
      <w:sz w:val="24"/>
      <w:szCs w:val="24"/>
    </w:rPr>
  </w:style>
  <w:style w:type="character" w:customStyle="1" w:styleId="Heading6Char">
    <w:name w:val="Heading 6 Char"/>
    <w:link w:val="Heading6"/>
    <w:uiPriority w:val="9"/>
    <w:rsid w:val="00246DB9"/>
    <w:rPr>
      <w:rFonts w:ascii="Calibri" w:eastAsia="MS Gothic" w:hAnsi="Calibri" w:cs="Times New Roman"/>
      <w:color w:val="000000"/>
      <w:sz w:val="24"/>
      <w:szCs w:val="24"/>
    </w:rPr>
  </w:style>
  <w:style w:type="character" w:customStyle="1" w:styleId="Heading7Char">
    <w:name w:val="Heading 7 Char"/>
    <w:link w:val="Heading7"/>
    <w:uiPriority w:val="9"/>
    <w:rsid w:val="00246DB9"/>
    <w:rPr>
      <w:rFonts w:ascii="Calibri" w:eastAsia="MS Gothic" w:hAnsi="Calibri" w:cs="Times New Roman"/>
      <w:i/>
      <w:iCs/>
      <w:color w:val="243F60"/>
      <w:sz w:val="24"/>
      <w:szCs w:val="24"/>
    </w:rPr>
  </w:style>
  <w:style w:type="paragraph" w:customStyle="1" w:styleId="Style1">
    <w:name w:val="Style1"/>
    <w:basedOn w:val="Heading4"/>
    <w:qFormat/>
    <w:rsid w:val="005047C7"/>
  </w:style>
  <w:style w:type="paragraph" w:customStyle="1" w:styleId="VCEBodyCopy">
    <w:name w:val="VCE Body Copy"/>
    <w:autoRedefine/>
    <w:qFormat/>
    <w:rsid w:val="00905CF2"/>
    <w:pPr>
      <w:spacing w:after="240"/>
    </w:pPr>
    <w:rPr>
      <w:rFonts w:cs="Arial"/>
      <w:sz w:val="22"/>
      <w:szCs w:val="32"/>
    </w:rPr>
  </w:style>
  <w:style w:type="paragraph" w:customStyle="1" w:styleId="VCEFigureCaptions">
    <w:name w:val="VCE Figure Captions"/>
    <w:basedOn w:val="VCEBodyCopy"/>
    <w:next w:val="NoParagraphStyle"/>
    <w:autoRedefine/>
    <w:qFormat/>
    <w:rsid w:val="002C37F7"/>
    <w:rPr>
      <w:rFonts w:ascii="Arial" w:hAnsi="Arial"/>
      <w:sz w:val="20"/>
      <w:szCs w:val="22"/>
    </w:rPr>
  </w:style>
  <w:style w:type="paragraph" w:customStyle="1" w:styleId="VCEHangingIndent">
    <w:name w:val="VCE Hanging Indent"/>
    <w:basedOn w:val="VCEBodyCopy"/>
    <w:qFormat/>
    <w:rsid w:val="006E5D96"/>
    <w:pPr>
      <w:ind w:left="288" w:hanging="288"/>
    </w:pPr>
    <w:rPr>
      <w:szCs w:val="22"/>
    </w:rPr>
  </w:style>
  <w:style w:type="table" w:styleId="TableGrid">
    <w:name w:val="Table Grid"/>
    <w:basedOn w:val="TableNormal"/>
    <w:uiPriority w:val="59"/>
    <w:rsid w:val="00BA1A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CEIndicia">
    <w:name w:val="VCE Indicia"/>
    <w:basedOn w:val="Normal"/>
    <w:qFormat/>
    <w:rsid w:val="00987D92"/>
    <w:pPr>
      <w:spacing w:before="240"/>
      <w:jc w:val="both"/>
    </w:pPr>
    <w:rPr>
      <w:w w:val="95"/>
      <w:sz w:val="16"/>
      <w:szCs w:val="16"/>
    </w:rPr>
  </w:style>
  <w:style w:type="character" w:customStyle="1" w:styleId="A10">
    <w:name w:val="A10"/>
    <w:uiPriority w:val="99"/>
    <w:rsid w:val="007538AA"/>
    <w:rPr>
      <w:rFonts w:cs="Myriad Pro Light"/>
      <w:color w:val="221E1F"/>
      <w:sz w:val="9"/>
      <w:szCs w:val="9"/>
    </w:rPr>
  </w:style>
  <w:style w:type="paragraph" w:customStyle="1" w:styleId="VCETableNotes">
    <w:name w:val="VCE Table Notes"/>
    <w:basedOn w:val="VCEBodyCopy"/>
    <w:qFormat/>
    <w:rsid w:val="00C52232"/>
    <w:pPr>
      <w:spacing w:after="0"/>
    </w:pPr>
    <w:rPr>
      <w:rFonts w:ascii="Arial" w:hAnsi="Arial"/>
      <w:sz w:val="16"/>
    </w:rPr>
  </w:style>
  <w:style w:type="paragraph" w:customStyle="1" w:styleId="VCETableHeader">
    <w:name w:val="VCE Table Header"/>
    <w:basedOn w:val="VCEBodyCopy"/>
    <w:qFormat/>
    <w:rsid w:val="004E7D1B"/>
    <w:rPr>
      <w:rFonts w:ascii="Arial" w:hAnsi="Arial"/>
      <w:sz w:val="20"/>
    </w:rPr>
  </w:style>
  <w:style w:type="character" w:customStyle="1" w:styleId="Heading1Char">
    <w:name w:val="Heading 1 Char"/>
    <w:aliases w:val="VCE Heading 1 (title) Char"/>
    <w:link w:val="Heading1"/>
    <w:uiPriority w:val="9"/>
    <w:rsid w:val="005047C7"/>
    <w:rPr>
      <w:rFonts w:ascii="Arial" w:eastAsia="MS Gothic" w:hAnsi="Arial" w:cs="Times New Roman"/>
      <w:b/>
      <w:color w:val="000000"/>
      <w:sz w:val="48"/>
      <w:szCs w:val="32"/>
    </w:rPr>
  </w:style>
  <w:style w:type="character" w:customStyle="1" w:styleId="Heading3Char">
    <w:name w:val="Heading 3 Char"/>
    <w:aliases w:val="VCE Heading 3 Char"/>
    <w:link w:val="Heading3"/>
    <w:uiPriority w:val="9"/>
    <w:rsid w:val="005047C7"/>
    <w:rPr>
      <w:rFonts w:ascii="Arial" w:eastAsia="MS Gothic" w:hAnsi="Arial" w:cs="Times New Roman"/>
      <w:b/>
      <w:color w:val="000000"/>
      <w:sz w:val="32"/>
      <w:szCs w:val="24"/>
    </w:rPr>
  </w:style>
  <w:style w:type="character" w:customStyle="1" w:styleId="Heading4Char">
    <w:name w:val="Heading 4 Char"/>
    <w:aliases w:val="VCE Heading 4 Char"/>
    <w:link w:val="Heading4"/>
    <w:uiPriority w:val="9"/>
    <w:rsid w:val="005047C7"/>
    <w:rPr>
      <w:rFonts w:ascii="Arial" w:eastAsia="MS Gothic" w:hAnsi="Arial" w:cs="Times New Roman"/>
      <w:b/>
      <w:iCs/>
      <w:color w:val="000000"/>
      <w:sz w:val="24"/>
      <w:szCs w:val="24"/>
    </w:rPr>
  </w:style>
  <w:style w:type="paragraph" w:styleId="ListBullet">
    <w:name w:val="List Bullet"/>
    <w:aliases w:val="VCE Bullet List"/>
    <w:basedOn w:val="VCEBodyCopy"/>
    <w:uiPriority w:val="99"/>
    <w:unhideWhenUsed/>
    <w:rsid w:val="00EC273E"/>
    <w:pPr>
      <w:numPr>
        <w:numId w:val="1"/>
      </w:numPr>
      <w:contextualSpacing/>
    </w:pPr>
  </w:style>
  <w:style w:type="paragraph" w:styleId="List2">
    <w:name w:val="List 2"/>
    <w:basedOn w:val="Normal"/>
    <w:uiPriority w:val="99"/>
    <w:unhideWhenUsed/>
    <w:rsid w:val="00B30AC8"/>
    <w:pPr>
      <w:ind w:left="720" w:hanging="360"/>
      <w:contextualSpacing/>
    </w:pPr>
  </w:style>
  <w:style w:type="paragraph" w:styleId="ListNumber">
    <w:name w:val="List Number"/>
    <w:aliases w:val="VCE Numbered List"/>
    <w:basedOn w:val="VCEBodyCopy"/>
    <w:uiPriority w:val="99"/>
    <w:unhideWhenUsed/>
    <w:rsid w:val="00B30AC8"/>
    <w:pPr>
      <w:tabs>
        <w:tab w:val="num" w:pos="720"/>
      </w:tabs>
      <w:ind w:left="720" w:hanging="720"/>
      <w:contextualSpacing/>
    </w:pPr>
  </w:style>
  <w:style w:type="paragraph" w:styleId="Header">
    <w:name w:val="header"/>
    <w:basedOn w:val="Normal"/>
    <w:link w:val="HeaderChar"/>
    <w:uiPriority w:val="99"/>
    <w:unhideWhenUsed/>
    <w:rsid w:val="00C750CE"/>
    <w:pPr>
      <w:tabs>
        <w:tab w:val="center" w:pos="4680"/>
        <w:tab w:val="right" w:pos="9360"/>
      </w:tabs>
    </w:pPr>
  </w:style>
  <w:style w:type="character" w:customStyle="1" w:styleId="HeaderChar">
    <w:name w:val="Header Char"/>
    <w:basedOn w:val="DefaultParagraphFont"/>
    <w:link w:val="Header"/>
    <w:uiPriority w:val="99"/>
    <w:rsid w:val="00C750CE"/>
    <w:rPr>
      <w:sz w:val="24"/>
      <w:szCs w:val="24"/>
    </w:rPr>
  </w:style>
  <w:style w:type="character" w:customStyle="1" w:styleId="FooterChar">
    <w:name w:val="Footer Char"/>
    <w:basedOn w:val="DefaultParagraphFont"/>
    <w:link w:val="Footer"/>
    <w:uiPriority w:val="99"/>
    <w:rsid w:val="00C750CE"/>
    <w:rPr>
      <w:sz w:val="24"/>
      <w:szCs w:val="24"/>
    </w:rPr>
  </w:style>
  <w:style w:type="paragraph" w:styleId="NoSpacing">
    <w:name w:val="No Spacing"/>
    <w:uiPriority w:val="1"/>
    <w:qFormat/>
    <w:rsid w:val="00C750CE"/>
    <w:rPr>
      <w:rFonts w:asciiTheme="minorHAnsi" w:eastAsiaTheme="minorEastAsia" w:hAnsiTheme="minorHAnsi" w:cstheme="minorBidi"/>
      <w:sz w:val="22"/>
      <w:szCs w:val="22"/>
      <w:lang w:eastAsia="zh-CN"/>
    </w:rPr>
  </w:style>
  <w:style w:type="character" w:customStyle="1" w:styleId="UnresolvedMention1">
    <w:name w:val="Unresolved Mention1"/>
    <w:basedOn w:val="DefaultParagraphFont"/>
    <w:uiPriority w:val="99"/>
    <w:rsid w:val="002C37F7"/>
    <w:rPr>
      <w:color w:val="605E5C"/>
      <w:shd w:val="clear" w:color="auto" w:fill="E1DFDD"/>
    </w:rPr>
  </w:style>
  <w:style w:type="table" w:styleId="PlainTable3">
    <w:name w:val="Plain Table 3"/>
    <w:basedOn w:val="TableNormal"/>
    <w:uiPriority w:val="43"/>
    <w:rsid w:val="002C37F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2C37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ibliography">
    <w:name w:val="Bibliography"/>
    <w:basedOn w:val="Normal"/>
    <w:next w:val="Normal"/>
    <w:uiPriority w:val="37"/>
    <w:unhideWhenUsed/>
    <w:rsid w:val="002753E5"/>
    <w:pPr>
      <w:ind w:left="720" w:hanging="720"/>
    </w:pPr>
  </w:style>
  <w:style w:type="character" w:styleId="CommentReference">
    <w:name w:val="annotation reference"/>
    <w:basedOn w:val="DefaultParagraphFont"/>
    <w:uiPriority w:val="99"/>
    <w:semiHidden/>
    <w:unhideWhenUsed/>
    <w:rsid w:val="00A538EA"/>
    <w:rPr>
      <w:sz w:val="16"/>
      <w:szCs w:val="16"/>
    </w:rPr>
  </w:style>
  <w:style w:type="paragraph" w:styleId="CommentText">
    <w:name w:val="annotation text"/>
    <w:basedOn w:val="Normal"/>
    <w:link w:val="CommentTextChar"/>
    <w:uiPriority w:val="99"/>
    <w:unhideWhenUsed/>
    <w:rsid w:val="00A538EA"/>
    <w:pPr>
      <w:spacing w:after="16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rsid w:val="00A538EA"/>
    <w:rPr>
      <w:rFonts w:asciiTheme="minorHAnsi" w:eastAsiaTheme="minorHAnsi" w:hAnsiTheme="minorHAnsi" w:cstheme="minorBidi"/>
    </w:rPr>
  </w:style>
  <w:style w:type="paragraph" w:styleId="Revision">
    <w:name w:val="Revision"/>
    <w:hidden/>
    <w:uiPriority w:val="99"/>
    <w:semiHidden/>
    <w:rsid w:val="00DC5758"/>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flickr.com/photos/48631399@N07/5684444206" TargetMode="External"/><Relationship Id="rId18" Type="http://schemas.openxmlformats.org/officeDocument/2006/relationships/hyperlink" Target="https://www.flickr.com/photos/50783993@N05" TargetMode="External"/><Relationship Id="rId26" Type="http://schemas.openxmlformats.org/officeDocument/2006/relationships/hyperlink" Target="https://www.flickr.com/photos/48722974@N07" TargetMode="External"/><Relationship Id="rId21" Type="http://schemas.openxmlformats.org/officeDocument/2006/relationships/hyperlink" Target="https://www.flickr.com/photos/68736769@N00/7176697955" TargetMode="External"/><Relationship Id="rId34" Type="http://schemas.openxmlformats.org/officeDocument/2006/relationships/hyperlink" Target="https://creativecommons.org/licenses/by-nc-sa/4.0" TargetMode="External"/><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hyperlink" Target="https://www.flickr.com/photos/50783993@N05/9370174774" TargetMode="External"/><Relationship Id="rId25" Type="http://schemas.openxmlformats.org/officeDocument/2006/relationships/hyperlink" Target="https://www.flickr.com/photos/48722974@N07/5250023220" TargetMode="External"/><Relationship Id="rId33" Type="http://schemas.openxmlformats.org/officeDocument/2006/relationships/image" Target="media/image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image" Target="media/image3.jpg"/><Relationship Id="rId29" Type="http://schemas.openxmlformats.org/officeDocument/2006/relationships/hyperlink" Target="https://commons.wikimedia.org/w/index.php?curid=9575110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4.jpg"/><Relationship Id="rId32" Type="http://schemas.openxmlformats.org/officeDocument/2006/relationships/hyperlink" Target="https://doi.org/10.21061/cyberbiosecurity"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creativecommons.org/licenses/by-nd-nc/2.0/jp/?ref=openverse" TargetMode="External"/><Relationship Id="rId23" Type="http://schemas.openxmlformats.org/officeDocument/2006/relationships/hyperlink" Target="https://creativecommons.org/licenses/by-nc-sa/2.0/?ref=openverse" TargetMode="External"/><Relationship Id="rId28" Type="http://schemas.openxmlformats.org/officeDocument/2006/relationships/image" Target="media/image5.jpg"/><Relationship Id="rId36" Type="http://schemas.openxmlformats.org/officeDocument/2006/relationships/footer" Target="footer3.xml"/><Relationship Id="rId10" Type="http://schemas.openxmlformats.org/officeDocument/2006/relationships/footer" Target="footer2.xml"/><Relationship Id="rId19" Type="http://schemas.openxmlformats.org/officeDocument/2006/relationships/hyperlink" Target="https://creativecommons.org/licenses/by/2.0/?ref=openverse" TargetMode="External"/><Relationship Id="rId31" Type="http://schemas.openxmlformats.org/officeDocument/2006/relationships/hyperlink" Target="https://creativecommons.org/licenses/by/4.0/?ref=openverse"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flickr.com/photos/48631399@N07" TargetMode="External"/><Relationship Id="rId22" Type="http://schemas.openxmlformats.org/officeDocument/2006/relationships/hyperlink" Target="https://www.flickr.com/photos/68736769@N00" TargetMode="External"/><Relationship Id="rId27" Type="http://schemas.openxmlformats.org/officeDocument/2006/relationships/hyperlink" Target="https://creativecommons.org/licenses/by/2.0/?ref=openverse" TargetMode="External"/><Relationship Id="rId30" Type="http://schemas.openxmlformats.org/officeDocument/2006/relationships/hyperlink" Target="https://commons.wikimedia.org/w/index.php?title=User:Antarsih&amp;action=edit&amp;redlink=1" TargetMode="External"/><Relationship Id="rId35" Type="http://schemas.openxmlformats.org/officeDocument/2006/relationships/header" Target="header3.xml"/><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egu3Fz1E5Zt3Dlw8SgnZ359UiXg==">AMUW2mVj4Z+WRsu1MQTQ9R9qbeytrvbrRHtt1VcVE88vOLBu4ja4RfoZpQwothxgy2kCRX+4tJdNzWKtu9g79+gseHt6UaQafppia0TbkkOn/p6rc1n23ow=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1617</Words>
  <Characters>9218</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Scherer, Hannah</cp:lastModifiedBy>
  <cp:revision>4</cp:revision>
  <dcterms:created xsi:type="dcterms:W3CDTF">2023-08-21T13:51:00Z</dcterms:created>
  <dcterms:modified xsi:type="dcterms:W3CDTF">2023-08-25T18:09:00Z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zotero-version="6.0.10"&gt;&lt;session id="JXbXNScI"/&gt;&lt;style id="http://www.zotero.org/styles/chicago-author-date" locale="en-US" hasBibliography="1" bibliographyStyleHasBeenSet="1"/&gt;&lt;prefs&gt;&lt;pref name="fieldType" value="Field"/&gt;&lt;/prefs&gt;&lt;/</vt:lpwstr>
  </property>
  <property fmtid="{D5CDD505-2E9C-101B-9397-08002B2CF9AE}" pid="3" name="ZOTERO_PREF_2">
    <vt:lpwstr>data&gt;</vt:lpwstr>
  </property>
</Properties>
</file>